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97E2" w14:textId="4640BB61" w:rsidR="00E4790B" w:rsidRPr="00E4790B" w:rsidRDefault="00637FFD" w:rsidP="07C7107F">
      <w:pPr>
        <w:pStyle w:val="NoSpacing"/>
        <w:jc w:val="right"/>
        <w:rPr>
          <w:rFonts w:ascii="Franklin Gothic Demi" w:hAnsi="Franklin Gothic Demi"/>
          <w:color w:val="1F4E79" w:themeColor="accent1" w:themeShade="80"/>
          <w:sz w:val="26"/>
          <w:szCs w:val="26"/>
        </w:rPr>
      </w:pPr>
      <w:r>
        <w:rPr>
          <w:rFonts w:ascii="Franklin Gothic Demi" w:hAnsi="Franklin Gothic Demi"/>
          <w:noProof/>
          <w:color w:val="1F4E79" w:themeColor="accent1" w:themeShade="80"/>
          <w:sz w:val="26"/>
          <w:szCs w:val="26"/>
        </w:rPr>
        <w:drawing>
          <wp:anchor distT="0" distB="0" distL="114300" distR="114300" simplePos="0" relativeHeight="251659265" behindDoc="0" locked="0" layoutInCell="1" allowOverlap="1" wp14:anchorId="601077F3" wp14:editId="1BFAB826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209800" cy="692150"/>
            <wp:effectExtent l="0" t="0" r="0" b="0"/>
            <wp:wrapThrough wrapText="bothSides">
              <wp:wrapPolygon edited="0">
                <wp:start x="0" y="0"/>
                <wp:lineTo x="0" y="20807"/>
                <wp:lineTo x="21414" y="20807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egon Tech Oregon Institute of Technolog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0DC9B81" w:rsidRPr="00E4790B">
        <w:rPr>
          <w:rFonts w:ascii="Franklin Gothic Demi" w:hAnsi="Franklin Gothic Demi"/>
          <w:color w:val="1F4E79" w:themeColor="accent1" w:themeShade="80"/>
          <w:sz w:val="26"/>
          <w:szCs w:val="26"/>
        </w:rPr>
        <w:t xml:space="preserve"> </w:t>
      </w:r>
    </w:p>
    <w:p w14:paraId="2134BBC8" w14:textId="0589E049" w:rsidR="00E4790B" w:rsidRPr="00E4790B" w:rsidRDefault="414CBAB2" w:rsidP="64F74C1E">
      <w:pPr>
        <w:pStyle w:val="NoSpacing"/>
        <w:jc w:val="right"/>
        <w:rPr>
          <w:rFonts w:ascii="Franklin Gothic Demi" w:hAnsi="Franklin Gothic Demi"/>
          <w:color w:val="1F4E79" w:themeColor="accent1" w:themeShade="80"/>
          <w:sz w:val="26"/>
          <w:szCs w:val="26"/>
        </w:rPr>
      </w:pPr>
      <w:r w:rsidRPr="64F74C1E">
        <w:rPr>
          <w:rFonts w:ascii="Franklin Gothic Demi" w:eastAsia="Franklin Gothic Demi" w:hAnsi="Franklin Gothic Demi" w:cs="Franklin Gothic Demi"/>
          <w:color w:val="1F4E79" w:themeColor="accent1" w:themeShade="80"/>
          <w:sz w:val="25"/>
          <w:szCs w:val="25"/>
        </w:rPr>
        <w:t>Meeting of the</w:t>
      </w:r>
      <w:r w:rsidRPr="64F74C1E">
        <w:rPr>
          <w:rFonts w:ascii="Franklin Gothic Demi" w:eastAsia="Franklin Gothic Demi" w:hAnsi="Franklin Gothic Demi" w:cs="Franklin Gothic Demi"/>
          <w:sz w:val="26"/>
          <w:szCs w:val="26"/>
        </w:rPr>
        <w:t xml:space="preserve"> </w:t>
      </w:r>
    </w:p>
    <w:p w14:paraId="73E776BC" w14:textId="00E87019" w:rsidR="00E4790B" w:rsidRPr="00E4790B" w:rsidRDefault="2E28FA91" w:rsidP="245B477D">
      <w:pPr>
        <w:pStyle w:val="NoSpacing"/>
        <w:jc w:val="right"/>
        <w:rPr>
          <w:rFonts w:ascii="Franklin Gothic Demi" w:hAnsi="Franklin Gothic Demi"/>
          <w:color w:val="1F4E79" w:themeColor="accent1" w:themeShade="80"/>
          <w:sz w:val="26"/>
          <w:szCs w:val="26"/>
        </w:rPr>
      </w:pPr>
      <w:r w:rsidRPr="64F74C1E">
        <w:rPr>
          <w:rFonts w:ascii="Franklin Gothic Demi" w:hAnsi="Franklin Gothic Demi"/>
          <w:color w:val="1F4E79" w:themeColor="accent1" w:themeShade="80"/>
          <w:sz w:val="26"/>
          <w:szCs w:val="26"/>
        </w:rPr>
        <w:t>Fi</w:t>
      </w:r>
      <w:r w:rsidR="6CF1BB8D" w:rsidRPr="64F74C1E">
        <w:rPr>
          <w:rFonts w:ascii="Franklin Gothic Demi" w:hAnsi="Franklin Gothic Demi"/>
          <w:color w:val="1F4E79" w:themeColor="accent1" w:themeShade="80"/>
          <w:sz w:val="26"/>
          <w:szCs w:val="26"/>
        </w:rPr>
        <w:t>scal Operations Advisory Council</w:t>
      </w:r>
      <w:r w:rsidR="02E45A0D" w:rsidRPr="64F74C1E">
        <w:rPr>
          <w:rFonts w:ascii="Franklin Gothic Demi" w:hAnsi="Franklin Gothic Demi"/>
          <w:color w:val="1F4E79" w:themeColor="accent1" w:themeShade="80"/>
          <w:sz w:val="26"/>
          <w:szCs w:val="26"/>
        </w:rPr>
        <w:t xml:space="preserve"> (FOAC)</w:t>
      </w:r>
    </w:p>
    <w:p w14:paraId="0B2CC09B" w14:textId="68FB797B" w:rsidR="00961028" w:rsidRDefault="00961028" w:rsidP="00B63601">
      <w:pPr>
        <w:pStyle w:val="NoSpacing"/>
        <w:jc w:val="right"/>
        <w:rPr>
          <w:rFonts w:ascii="Franklin Gothic Demi" w:hAnsi="Franklin Gothic Demi"/>
          <w:sz w:val="26"/>
          <w:szCs w:val="26"/>
        </w:rPr>
      </w:pPr>
      <w:r w:rsidRPr="5F547DFD">
        <w:rPr>
          <w:rFonts w:ascii="Franklin Gothic Demi" w:hAnsi="Franklin Gothic Demi"/>
          <w:sz w:val="26"/>
          <w:szCs w:val="26"/>
        </w:rPr>
        <w:t xml:space="preserve">Room Location: </w:t>
      </w:r>
      <w:r w:rsidR="2921E41A" w:rsidRPr="5F547DFD">
        <w:rPr>
          <w:rFonts w:ascii="Franklin Gothic Demi" w:hAnsi="Franklin Gothic Demi"/>
          <w:sz w:val="26"/>
          <w:szCs w:val="26"/>
        </w:rPr>
        <w:t>College Union Sunset</w:t>
      </w:r>
    </w:p>
    <w:p w14:paraId="7E74707D" w14:textId="1559CE14" w:rsidR="002132CD" w:rsidRPr="00F65DCE" w:rsidRDefault="00961028" w:rsidP="002132CD">
      <w:pPr>
        <w:pStyle w:val="NoSpacing"/>
        <w:jc w:val="right"/>
        <w:rPr>
          <w:rFonts w:ascii="Franklin Gothic Demi" w:hAnsi="Franklin Gothic Demi"/>
          <w:sz w:val="26"/>
          <w:szCs w:val="26"/>
        </w:rPr>
      </w:pPr>
      <w:r w:rsidRPr="5F547DFD">
        <w:rPr>
          <w:rFonts w:ascii="Franklin Gothic Demi" w:hAnsi="Franklin Gothic Demi"/>
          <w:sz w:val="26"/>
          <w:szCs w:val="26"/>
        </w:rPr>
        <w:t xml:space="preserve">Date: </w:t>
      </w:r>
      <w:r w:rsidR="470E75F3" w:rsidRPr="5F547DFD">
        <w:rPr>
          <w:rFonts w:ascii="Franklin Gothic Demi" w:hAnsi="Franklin Gothic Demi"/>
          <w:sz w:val="26"/>
          <w:szCs w:val="26"/>
        </w:rPr>
        <w:t>November 10, 2021</w:t>
      </w:r>
    </w:p>
    <w:p w14:paraId="540C6026" w14:textId="16E9AD80" w:rsidR="002132CD" w:rsidRPr="00F65DCE" w:rsidRDefault="00961028" w:rsidP="002132CD">
      <w:pPr>
        <w:pStyle w:val="NoSpacing"/>
        <w:jc w:val="right"/>
        <w:rPr>
          <w:rFonts w:ascii="Franklin Gothic Demi" w:hAnsi="Franklin Gothic Demi"/>
          <w:sz w:val="26"/>
          <w:szCs w:val="26"/>
        </w:rPr>
      </w:pPr>
      <w:r w:rsidRPr="07C7107F">
        <w:rPr>
          <w:rFonts w:ascii="Franklin Gothic Demi" w:hAnsi="Franklin Gothic Demi"/>
          <w:sz w:val="26"/>
          <w:szCs w:val="26"/>
        </w:rPr>
        <w:t xml:space="preserve">Time: </w:t>
      </w:r>
      <w:r w:rsidR="7D1390E7" w:rsidRPr="07C7107F">
        <w:rPr>
          <w:rFonts w:ascii="Franklin Gothic Demi" w:hAnsi="Franklin Gothic Demi"/>
          <w:sz w:val="26"/>
          <w:szCs w:val="26"/>
        </w:rPr>
        <w:t>4:00pm</w:t>
      </w:r>
      <w:r w:rsidR="49F15989" w:rsidRPr="07C7107F">
        <w:rPr>
          <w:rFonts w:ascii="Franklin Gothic Demi" w:hAnsi="Franklin Gothic Demi"/>
          <w:sz w:val="26"/>
          <w:szCs w:val="26"/>
        </w:rPr>
        <w:t xml:space="preserve"> - 5:00pm</w:t>
      </w:r>
    </w:p>
    <w:p w14:paraId="79D16BA4" w14:textId="77777777" w:rsidR="002132CD" w:rsidRPr="00AF254E" w:rsidRDefault="002132CD" w:rsidP="00637FF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5B639D" wp14:editId="4209813C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381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5137E4B">
              <v:line id="Straight Connector 2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0,8.2pt" to="502.5pt,8.2pt" w14:anchorId="5B04EA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">
                <v:stroke joinstyle="miter"/>
              </v:line>
            </w:pict>
          </mc:Fallback>
        </mc:AlternateContent>
      </w:r>
    </w:p>
    <w:p w14:paraId="0A93A5AE" w14:textId="780F019D" w:rsidR="00E4790B" w:rsidRDefault="00E4790B" w:rsidP="00637FFD">
      <w:pPr>
        <w:pStyle w:val="NoSpacing"/>
      </w:pPr>
    </w:p>
    <w:tbl>
      <w:tblPr>
        <w:tblStyle w:val="TableGrid"/>
        <w:tblW w:w="99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986"/>
        <w:gridCol w:w="1598"/>
        <w:gridCol w:w="3960"/>
      </w:tblGrid>
      <w:tr w:rsidR="00BE574F" w:rsidRPr="00CE52C6" w14:paraId="1F10182C" w14:textId="26195D07" w:rsidTr="5F547DFD">
        <w:trPr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0ECE21C5" w14:textId="0BFD51BB" w:rsidR="00173964" w:rsidRPr="00BE574F" w:rsidRDefault="005701DA" w:rsidP="00B1741D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BE574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POSITION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14F23A64" w14:textId="75BD9652" w:rsidR="00173964" w:rsidRPr="00BE574F" w:rsidRDefault="005701DA" w:rsidP="00B1741D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5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2BB6CE2B" w14:textId="1AAC10A7" w:rsidR="00173964" w:rsidRPr="00BE574F" w:rsidRDefault="005701DA" w:rsidP="00B1741D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5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3612A8CA" w14:textId="315348E0" w:rsidR="00173964" w:rsidRPr="00BE574F" w:rsidRDefault="0084226F" w:rsidP="00B1741D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5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DEPARTMENT/DIVISION</w:t>
            </w:r>
          </w:p>
        </w:tc>
      </w:tr>
      <w:tr w:rsidR="00BE574F" w:rsidRPr="00CE52C6" w14:paraId="1BD7199E" w14:textId="0119A6AD" w:rsidTr="5F547DFD">
        <w:trPr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0EED39C4" w14:textId="78F84E56" w:rsidR="00173964" w:rsidRPr="00BE574F" w:rsidRDefault="0084226F" w:rsidP="00B1741D">
            <w:pPr>
              <w:pStyle w:val="NoSpacing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E574F">
              <w:rPr>
                <w:rFonts w:asciiTheme="minorHAnsi" w:hAnsiTheme="minorHAnsi" w:cstheme="minorHAnsi"/>
                <w:iCs/>
                <w:sz w:val="20"/>
                <w:szCs w:val="20"/>
              </w:rPr>
              <w:t>Chair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3DCDC847" w14:textId="31BDE1F0" w:rsidR="00173964" w:rsidRPr="00BE574F" w:rsidRDefault="0084226F" w:rsidP="00B174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574F">
              <w:rPr>
                <w:rFonts w:asciiTheme="minorHAnsi" w:hAnsiTheme="minorHAnsi" w:cstheme="minorHAnsi"/>
                <w:sz w:val="20"/>
                <w:szCs w:val="20"/>
              </w:rPr>
              <w:t>2021-24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1A892EDA" w14:textId="2CEABEFB" w:rsidR="00173964" w:rsidRPr="00BE574F" w:rsidRDefault="0084226F" w:rsidP="00B174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574F">
              <w:rPr>
                <w:rFonts w:asciiTheme="minorHAnsi" w:hAnsiTheme="minorHAnsi" w:cstheme="minorHAnsi"/>
                <w:sz w:val="20"/>
                <w:szCs w:val="20"/>
              </w:rPr>
              <w:t>Don DaSaro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501BE33C" w14:textId="7A91EA02" w:rsidR="00173964" w:rsidRPr="00BE574F" w:rsidRDefault="0084226F" w:rsidP="00B174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574F">
              <w:rPr>
                <w:rFonts w:asciiTheme="minorHAnsi" w:hAnsiTheme="minorHAnsi" w:cstheme="minorHAnsi"/>
                <w:sz w:val="20"/>
                <w:szCs w:val="20"/>
              </w:rPr>
              <w:t>Business Management</w:t>
            </w:r>
          </w:p>
        </w:tc>
      </w:tr>
      <w:tr w:rsidR="00BE574F" w:rsidRPr="00CE52C6" w14:paraId="2534E97A" w14:textId="24EC296D" w:rsidTr="5F547DFD">
        <w:trPr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25FE939F" w14:textId="770A13E3" w:rsidR="00173964" w:rsidRPr="00BE574F" w:rsidRDefault="0084226F" w:rsidP="00B1741D">
            <w:pPr>
              <w:pStyle w:val="NoSpacing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E574F">
              <w:rPr>
                <w:rFonts w:asciiTheme="minorHAnsi" w:hAnsiTheme="minorHAnsi" w:cstheme="minorHAnsi"/>
                <w:iCs/>
                <w:sz w:val="20"/>
                <w:szCs w:val="20"/>
              </w:rPr>
              <w:t>Provost and Vice President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327210B5" w14:textId="4ADCD3AA" w:rsidR="00173964" w:rsidRPr="00BE574F" w:rsidRDefault="0084226F" w:rsidP="00B174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574F">
              <w:rPr>
                <w:rFonts w:asciiTheme="minorHAnsi" w:hAnsiTheme="minorHAnsi" w:cstheme="minorHAnsi"/>
                <w:sz w:val="20"/>
                <w:szCs w:val="20"/>
              </w:rPr>
              <w:t>2021-22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5CF7B057" w14:textId="4521DA8C" w:rsidR="00173964" w:rsidRPr="00BE574F" w:rsidRDefault="0084226F" w:rsidP="00B174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574F">
              <w:rPr>
                <w:rFonts w:asciiTheme="minorHAnsi" w:hAnsiTheme="minorHAnsi" w:cstheme="minorHAnsi"/>
                <w:sz w:val="20"/>
                <w:szCs w:val="20"/>
              </w:rPr>
              <w:t>Joanna Mott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12FE0C1F" w14:textId="0DF7CF96" w:rsidR="00173964" w:rsidRPr="00BE574F" w:rsidRDefault="0084226F" w:rsidP="00B174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574F">
              <w:rPr>
                <w:rFonts w:asciiTheme="minorHAnsi" w:hAnsiTheme="minorHAnsi" w:cstheme="minorHAnsi"/>
                <w:sz w:val="20"/>
                <w:szCs w:val="20"/>
              </w:rPr>
              <w:t>Academic Affairs</w:t>
            </w:r>
          </w:p>
        </w:tc>
      </w:tr>
      <w:tr w:rsidR="00BE574F" w:rsidRPr="00CE52C6" w14:paraId="35820320" w14:textId="5F545B47" w:rsidTr="5F547DFD">
        <w:trPr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79EDA810" w14:textId="6031C2F4" w:rsidR="00173964" w:rsidRPr="00BE574F" w:rsidRDefault="0084226F" w:rsidP="00B1741D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Vice President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2D55573D" w14:textId="0640F0BB" w:rsidR="00173964" w:rsidRPr="00BE574F" w:rsidRDefault="0084226F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2021-22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3E008884" w14:textId="108FCFAC" w:rsidR="00173964" w:rsidRPr="00BE574F" w:rsidRDefault="0084226F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John Harman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423EAC40" w14:textId="31EA3754" w:rsidR="00173964" w:rsidRPr="00BE574F" w:rsidRDefault="0084226F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Finance and Administration</w:t>
            </w:r>
          </w:p>
        </w:tc>
      </w:tr>
      <w:tr w:rsidR="00BE574F" w:rsidRPr="00CE52C6" w14:paraId="7A641A96" w14:textId="7096C067" w:rsidTr="5F547DFD">
        <w:trPr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57BEADED" w14:textId="2F8C847E" w:rsidR="00173964" w:rsidRPr="00BE574F" w:rsidRDefault="00CF2394" w:rsidP="00B1741D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Vice President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49234BFE" w14:textId="0F63917A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2021-22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6A272284" w14:textId="678859AE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Erin Foley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6260328A" w14:textId="3AB6E678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Student Affairs</w:t>
            </w:r>
          </w:p>
        </w:tc>
      </w:tr>
      <w:tr w:rsidR="00BE574F" w:rsidRPr="00D56637" w14:paraId="3FA69AD9" w14:textId="787C6D64" w:rsidTr="5F547DFD">
        <w:trPr>
          <w:trHeight w:val="20"/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6D5CD743" w14:textId="00D9F947" w:rsidR="00173964" w:rsidRPr="00BE574F" w:rsidRDefault="00CF2394" w:rsidP="00B1741D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Vice Provost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1DBB1F67" w14:textId="0377A568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2021-22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2EB061D9" w14:textId="16D4EE8B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Abdy Afjeh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587D984D" w14:textId="49C629EB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Research and Academic Affairs</w:t>
            </w:r>
          </w:p>
        </w:tc>
      </w:tr>
      <w:tr w:rsidR="00BE574F" w:rsidRPr="00D56637" w14:paraId="2DBB90CF" w14:textId="4692FEC2" w:rsidTr="5F547DFD">
        <w:trPr>
          <w:trHeight w:val="20"/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78E40AAA" w14:textId="4A19E4B8" w:rsidR="00173964" w:rsidRPr="00BE574F" w:rsidRDefault="00CF2394" w:rsidP="00B1741D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Administrative Council Representative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5F7A1930" w14:textId="75A4F2C8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2021-22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6A2522F9" w14:textId="01553601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TBA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10443B63" w14:textId="03583288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TBA</w:t>
            </w:r>
          </w:p>
        </w:tc>
      </w:tr>
      <w:tr w:rsidR="00BE574F" w:rsidRPr="00D56637" w14:paraId="2BE3AA4E" w14:textId="42A667B8" w:rsidTr="5F547DFD">
        <w:trPr>
          <w:trHeight w:val="20"/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7D53148F" w14:textId="53F72EBB" w:rsidR="00173964" w:rsidRPr="00BE574F" w:rsidRDefault="00CF2394" w:rsidP="00B1741D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Budget and Planning Representative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7748BFDC" w14:textId="0C519E35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2021-24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3CF55C53" w14:textId="2EEDF51B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Anna Clark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04E5C57B" w14:textId="3669F011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Budget and Planning</w:t>
            </w:r>
          </w:p>
        </w:tc>
      </w:tr>
      <w:tr w:rsidR="00BE574F" w:rsidRPr="00D56637" w14:paraId="075F121E" w14:textId="56F808E5" w:rsidTr="5F547DFD">
        <w:trPr>
          <w:trHeight w:val="20"/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5FFC5733" w14:textId="7326E09F" w:rsidR="00173964" w:rsidRPr="00BE574F" w:rsidRDefault="00CF2394" w:rsidP="00B1741D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Senate Executive Representative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6EAA1A7D" w14:textId="1D1594C3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2021-22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0EC71AE2" w14:textId="4CCA8D55" w:rsidR="00173964" w:rsidRPr="00BE574F" w:rsidRDefault="00EC797C" w:rsidP="00B174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Lindy Stewart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047A1EA6" w14:textId="3D487572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Faculty Senate</w:t>
            </w:r>
          </w:p>
        </w:tc>
      </w:tr>
      <w:tr w:rsidR="00BE574F" w:rsidRPr="00D56637" w14:paraId="01B9FC1D" w14:textId="5A3A6A2F" w:rsidTr="5F547DFD">
        <w:trPr>
          <w:trHeight w:val="20"/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6546BD59" w14:textId="3449BBF3" w:rsidR="00173964" w:rsidRPr="00BE574F" w:rsidRDefault="00CF2394" w:rsidP="00B1741D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Administrative Staff Representative 1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65DADEDD" w14:textId="20C13FFC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2020-23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18A4B4D5" w14:textId="0E4BFEBD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Connie Atchley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0E08766D" w14:textId="4B21B6BE" w:rsidR="00173964" w:rsidRPr="00BE574F" w:rsidRDefault="00CF2394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Information Technology Services</w:t>
            </w:r>
          </w:p>
        </w:tc>
      </w:tr>
      <w:tr w:rsidR="00BE574F" w:rsidRPr="00D56637" w14:paraId="601D8194" w14:textId="2250E825" w:rsidTr="5F547DFD">
        <w:trPr>
          <w:trHeight w:val="20"/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5709A8DE" w14:textId="72CF6969" w:rsidR="00173964" w:rsidRPr="00BE574F" w:rsidRDefault="001B2AEE" w:rsidP="00B1741D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Administrative Staff Representative 2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28A03FAB" w14:textId="101BB7F7" w:rsidR="00173964" w:rsidRPr="00BE574F" w:rsidRDefault="001B2AEE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2021-23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26B746A2" w14:textId="72D8A972" w:rsidR="00173964" w:rsidRPr="00BE574F" w:rsidRDefault="001B2AEE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Ken Sartain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14E69F1F" w14:textId="618E0221" w:rsidR="00173964" w:rsidRPr="00BE574F" w:rsidRDefault="001B2AEE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Academic Affairs</w:t>
            </w:r>
          </w:p>
        </w:tc>
      </w:tr>
      <w:tr w:rsidR="00BE574F" w:rsidRPr="00D56637" w14:paraId="3B8BCAA1" w14:textId="390FA7AF" w:rsidTr="5F547DFD">
        <w:trPr>
          <w:trHeight w:val="20"/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6700E49A" w14:textId="1A5A1F6E" w:rsidR="00173964" w:rsidRPr="00BE574F" w:rsidRDefault="001B2AEE" w:rsidP="00B1741D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Administrative Staff Representative 3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284EDFFB" w14:textId="63EEF2B0" w:rsidR="00173964" w:rsidRPr="00BE574F" w:rsidRDefault="001B2AEE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2021-24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74F37992" w14:textId="3C2F4D88" w:rsidR="00173964" w:rsidRPr="00BE574F" w:rsidRDefault="001B2AEE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Mandi Clark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28A0BDBE" w14:textId="68FE17E8" w:rsidR="00173964" w:rsidRPr="00BE574F" w:rsidRDefault="001B2AEE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Housing and Residence Life</w:t>
            </w:r>
          </w:p>
        </w:tc>
      </w:tr>
      <w:tr w:rsidR="00BE574F" w:rsidRPr="00D56637" w14:paraId="2D52E4BF" w14:textId="01C2F1DA" w:rsidTr="5F547DFD">
        <w:trPr>
          <w:trHeight w:val="20"/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4CD2D6DF" w14:textId="7BDF3E22" w:rsidR="00173964" w:rsidRPr="00BE574F" w:rsidRDefault="001B2AEE" w:rsidP="00F97243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Faculty 1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4F8A0938" w14:textId="621AB63B" w:rsidR="00173964" w:rsidRPr="00BE574F" w:rsidRDefault="001B2AEE" w:rsidP="00F97243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2021-24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7D908BDF" w14:textId="1243A625" w:rsidR="00173964" w:rsidRPr="00BE574F" w:rsidRDefault="5F2D6DD7" w:rsidP="00F97243">
            <w:pPr>
              <w:pStyle w:val="NoSpacing"/>
              <w:rPr>
                <w:sz w:val="20"/>
                <w:szCs w:val="20"/>
              </w:rPr>
            </w:pPr>
            <w:r w:rsidRPr="5F547DFD">
              <w:rPr>
                <w:sz w:val="20"/>
                <w:szCs w:val="20"/>
              </w:rPr>
              <w:t>TBA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2EC4D6EB" w14:textId="70DF3C00" w:rsidR="00FF1636" w:rsidRPr="00BE574F" w:rsidRDefault="00FF1636" w:rsidP="00F972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BE574F" w:rsidRPr="00D56637" w14:paraId="341482DD" w14:textId="58C7E617" w:rsidTr="5F547DFD">
        <w:trPr>
          <w:trHeight w:val="20"/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7CE94E3D" w14:textId="74598C49" w:rsidR="00173964" w:rsidRPr="00BE574F" w:rsidRDefault="00145AF8" w:rsidP="00B1741D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Faculty 2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1D6B6C81" w14:textId="164CE322" w:rsidR="00173964" w:rsidRPr="00BE574F" w:rsidRDefault="00145AF8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2019-22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3D2E4B88" w14:textId="5F7C827D" w:rsidR="00173964" w:rsidRPr="00BE574F" w:rsidRDefault="00145AF8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Todd Breedlove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07D2DD58" w14:textId="0B7948DE" w:rsidR="00173964" w:rsidRPr="00BE574F" w:rsidRDefault="00145AF8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Computer Systems Engineering Technology</w:t>
            </w:r>
          </w:p>
        </w:tc>
      </w:tr>
      <w:tr w:rsidR="00BE574F" w:rsidRPr="00D56637" w14:paraId="2BDC3491" w14:textId="717DB717" w:rsidTr="5F547DFD">
        <w:trPr>
          <w:trHeight w:val="20"/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11ED25B0" w14:textId="79C15EDF" w:rsidR="00173964" w:rsidRPr="00BE574F" w:rsidRDefault="00145AF8" w:rsidP="00B1741D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Faculty 3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51CB9CC4" w14:textId="4A8F20B3" w:rsidR="00173964" w:rsidRPr="00BE574F" w:rsidRDefault="00145AF8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2020-23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0B49DE27" w14:textId="65668421" w:rsidR="00173964" w:rsidRPr="00BE574F" w:rsidRDefault="00145AF8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Mason Terry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7EE5E504" w14:textId="44B72B82" w:rsidR="00173964" w:rsidRPr="00BE574F" w:rsidRDefault="00145AF8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Electrical Engineering and Renewable Energy</w:t>
            </w:r>
          </w:p>
        </w:tc>
      </w:tr>
      <w:tr w:rsidR="00BE574F" w:rsidRPr="00D56637" w14:paraId="08B308CD" w14:textId="3997BC95" w:rsidTr="5F547DFD">
        <w:trPr>
          <w:trHeight w:val="20"/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39D97392" w14:textId="643E2FDE" w:rsidR="00173964" w:rsidRPr="00BE574F" w:rsidRDefault="00145AF8" w:rsidP="00B1741D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Faculty 4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66337A29" w14:textId="44C32EFC" w:rsidR="00173964" w:rsidRPr="00BE574F" w:rsidRDefault="00145AF8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2021-24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5FE253BB" w14:textId="1A676CD5" w:rsidR="00173964" w:rsidRPr="00BE574F" w:rsidRDefault="00145AF8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Dibyajyoti Deb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0D2A7986" w14:textId="5E8E4C5C" w:rsidR="00173964" w:rsidRPr="00BE574F" w:rsidRDefault="00145AF8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Applied Mathematics</w:t>
            </w:r>
          </w:p>
        </w:tc>
      </w:tr>
      <w:tr w:rsidR="00BE574F" w:rsidRPr="00D56637" w14:paraId="5A80C97F" w14:textId="5AE97C3A" w:rsidTr="5F547DFD">
        <w:trPr>
          <w:trHeight w:val="20"/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773178B5" w14:textId="76DB76DD" w:rsidR="00173964" w:rsidRPr="00BE574F" w:rsidRDefault="00145AF8" w:rsidP="00B1741D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Klamath Falls ASOIT President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3FF0AB72" w14:textId="4817411A" w:rsidR="00173964" w:rsidRPr="00BE574F" w:rsidRDefault="00145AF8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2021-22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0EEDF947" w14:textId="744C0777" w:rsidR="00173964" w:rsidRPr="00BE574F" w:rsidRDefault="00145AF8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Brie Landis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4A4F9DF4" w14:textId="18D01B45" w:rsidR="00173964" w:rsidRPr="00BE574F" w:rsidRDefault="00145AF8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ASOIT</w:t>
            </w:r>
          </w:p>
        </w:tc>
      </w:tr>
      <w:tr w:rsidR="00BE574F" w:rsidRPr="00D56637" w14:paraId="0F796737" w14:textId="7BB1A948" w:rsidTr="5F547DFD">
        <w:trPr>
          <w:trHeight w:val="20"/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535E1292" w14:textId="73F17853" w:rsidR="00173964" w:rsidRPr="00BE574F" w:rsidRDefault="00145AF8" w:rsidP="00B1741D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Portland-Metro ASOIT President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5AFB537D" w14:textId="559AEAAD" w:rsidR="00173964" w:rsidRPr="00BE574F" w:rsidRDefault="00145AF8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2021-22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76BEC430" w14:textId="39B135C0" w:rsidR="00173964" w:rsidRPr="00BE574F" w:rsidRDefault="00E303DA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Jack Zoucha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69B83679" w14:textId="5BC7FC8E" w:rsidR="00173964" w:rsidRPr="00BE574F" w:rsidRDefault="00E303DA" w:rsidP="00B1741D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ASOIT</w:t>
            </w:r>
          </w:p>
        </w:tc>
      </w:tr>
      <w:tr w:rsidR="00BE574F" w:rsidRPr="00D56637" w14:paraId="23012B9D" w14:textId="3A789F71" w:rsidTr="5F547DFD">
        <w:trPr>
          <w:trHeight w:val="20"/>
          <w:jc w:val="center"/>
        </w:trPr>
        <w:tc>
          <w:tcPr>
            <w:tcW w:w="3427" w:type="dxa"/>
            <w:shd w:val="clear" w:color="auto" w:fill="FFF2CC" w:themeFill="accent4" w:themeFillTint="33"/>
          </w:tcPr>
          <w:p w14:paraId="27E50AB6" w14:textId="1363A166" w:rsidR="00173964" w:rsidRPr="00BE574F" w:rsidRDefault="00E303DA" w:rsidP="00297BF0">
            <w:pPr>
              <w:pStyle w:val="NoSpacing"/>
              <w:rPr>
                <w:iCs/>
                <w:sz w:val="20"/>
                <w:szCs w:val="20"/>
              </w:rPr>
            </w:pPr>
            <w:r w:rsidRPr="00BE574F">
              <w:rPr>
                <w:iCs/>
                <w:sz w:val="20"/>
                <w:szCs w:val="20"/>
              </w:rPr>
              <w:t>Executive Assistant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14:paraId="18D8BEF6" w14:textId="21D1350A" w:rsidR="00173964" w:rsidRPr="00BE574F" w:rsidRDefault="00E303DA" w:rsidP="00297BF0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2021-22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14:paraId="4E22AAD9" w14:textId="34B16D8A" w:rsidR="00173964" w:rsidRPr="00BE574F" w:rsidRDefault="4278CEEE" w:rsidP="5F547DFD">
            <w:pPr>
              <w:pStyle w:val="NoSpacing"/>
              <w:rPr>
                <w:sz w:val="20"/>
                <w:szCs w:val="20"/>
              </w:rPr>
            </w:pPr>
            <w:r w:rsidRPr="5F547DFD">
              <w:rPr>
                <w:sz w:val="20"/>
                <w:szCs w:val="20"/>
              </w:rPr>
              <w:t>Celia Green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40898945" w14:textId="4B1C9707" w:rsidR="00173964" w:rsidRPr="00BE574F" w:rsidRDefault="00E303DA" w:rsidP="00297BF0">
            <w:pPr>
              <w:pStyle w:val="NoSpacing"/>
              <w:rPr>
                <w:sz w:val="20"/>
                <w:szCs w:val="20"/>
              </w:rPr>
            </w:pPr>
            <w:r w:rsidRPr="00BE574F">
              <w:rPr>
                <w:sz w:val="20"/>
                <w:szCs w:val="20"/>
              </w:rPr>
              <w:t>Finance and Administration</w:t>
            </w:r>
          </w:p>
        </w:tc>
      </w:tr>
    </w:tbl>
    <w:p w14:paraId="5815E4D8" w14:textId="64F23FEB" w:rsidR="00637FFD" w:rsidRDefault="00637FFD" w:rsidP="00E4790B">
      <w:pPr>
        <w:pStyle w:val="NoSpacing"/>
      </w:pPr>
    </w:p>
    <w:p w14:paraId="3C8B0345" w14:textId="66D4014A" w:rsidR="00637FFD" w:rsidRDefault="00DB2BA2" w:rsidP="008809B3">
      <w:pPr>
        <w:pStyle w:val="NoSpacing"/>
        <w:jc w:val="center"/>
      </w:pPr>
      <w:r>
        <w:rPr>
          <w:rFonts w:ascii="Franklin Gothic Demi" w:hAnsi="Franklin Gothic Demi"/>
          <w:sz w:val="26"/>
          <w:szCs w:val="26"/>
        </w:rPr>
        <w:t>Minutes</w:t>
      </w:r>
    </w:p>
    <w:p w14:paraId="5411AB4D" w14:textId="77777777" w:rsidR="008809B3" w:rsidRDefault="008809B3" w:rsidP="00805FBC">
      <w:pPr>
        <w:pStyle w:val="NoSpacing"/>
      </w:pPr>
    </w:p>
    <w:p w14:paraId="54DFF42E" w14:textId="2A4C0AA0" w:rsidR="004545B0" w:rsidRPr="00C27820" w:rsidRDefault="004545B0" w:rsidP="00805FBC">
      <w:pPr>
        <w:pStyle w:val="NoSpacing"/>
      </w:pPr>
      <w:r w:rsidRPr="5F547DFD">
        <w:rPr>
          <w:b/>
          <w:bCs/>
        </w:rPr>
        <w:t>Meeting called to order</w:t>
      </w:r>
      <w:r w:rsidR="00BA3920">
        <w:t xml:space="preserve"> – </w:t>
      </w:r>
      <w:r w:rsidR="00C27820" w:rsidRPr="5F547DFD">
        <w:rPr>
          <w:i/>
          <w:iCs/>
        </w:rPr>
        <w:t xml:space="preserve">Chair </w:t>
      </w:r>
      <w:r w:rsidR="00BE574F" w:rsidRPr="5F547DFD">
        <w:rPr>
          <w:i/>
          <w:iCs/>
        </w:rPr>
        <w:t>DaSaro</w:t>
      </w:r>
    </w:p>
    <w:p w14:paraId="6D5F1F38" w14:textId="7836776A" w:rsidR="5F547DFD" w:rsidRDefault="5F547DFD" w:rsidP="5F547DFD">
      <w:pPr>
        <w:pStyle w:val="NoSpacing"/>
        <w:rPr>
          <w:i/>
          <w:iCs/>
        </w:rPr>
      </w:pPr>
    </w:p>
    <w:p w14:paraId="1A2A3CFB" w14:textId="2733A9A7" w:rsidR="41F446B5" w:rsidRDefault="19D8E0A3" w:rsidP="64F74C1E">
      <w:pPr>
        <w:pStyle w:val="NoSpacing"/>
        <w:rPr>
          <w:i/>
          <w:iCs/>
        </w:rPr>
      </w:pPr>
      <w:r w:rsidRPr="64F74C1E">
        <w:rPr>
          <w:i/>
          <w:iCs/>
        </w:rPr>
        <w:t>Chair DaS</w:t>
      </w:r>
      <w:r w:rsidR="7F2A0FDD" w:rsidRPr="64F74C1E">
        <w:rPr>
          <w:i/>
          <w:iCs/>
        </w:rPr>
        <w:t>a</w:t>
      </w:r>
      <w:r w:rsidRPr="64F74C1E">
        <w:rPr>
          <w:i/>
          <w:iCs/>
        </w:rPr>
        <w:t>ro</w:t>
      </w:r>
      <w:r w:rsidRPr="64F74C1E">
        <w:t xml:space="preserve"> called the meeting to order at 4:06 pm</w:t>
      </w:r>
      <w:r w:rsidRPr="64F74C1E">
        <w:rPr>
          <w:i/>
          <w:iCs/>
        </w:rPr>
        <w:t>.</w:t>
      </w:r>
    </w:p>
    <w:p w14:paraId="32BB41F1" w14:textId="07474984" w:rsidR="00FB1D4D" w:rsidRDefault="00FB1D4D" w:rsidP="00FB1D4D">
      <w:pPr>
        <w:pStyle w:val="NoSpacing"/>
        <w:ind w:left="720"/>
      </w:pPr>
    </w:p>
    <w:p w14:paraId="6FFB088D" w14:textId="5BB08656" w:rsidR="1C3671E9" w:rsidRDefault="4EAB51AA" w:rsidP="64F74C1E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 w:rsidRPr="64F74C1E">
        <w:rPr>
          <w:b/>
          <w:bCs/>
        </w:rPr>
        <w:t>Approval of Minutes-</w:t>
      </w:r>
      <w:r w:rsidRPr="64F74C1E">
        <w:rPr>
          <w:i/>
          <w:iCs/>
        </w:rPr>
        <w:t xml:space="preserve"> Chair DaSaro</w:t>
      </w:r>
    </w:p>
    <w:p w14:paraId="0066B5D3" w14:textId="0B0FA9E4" w:rsidR="1C3671E9" w:rsidRDefault="1C3671E9" w:rsidP="2049130F">
      <w:pPr>
        <w:pStyle w:val="ListParagraph"/>
        <w:numPr>
          <w:ilvl w:val="1"/>
          <w:numId w:val="2"/>
        </w:numPr>
        <w:spacing w:after="0" w:line="240" w:lineRule="auto"/>
        <w:rPr>
          <w:i/>
          <w:iCs/>
        </w:rPr>
      </w:pPr>
      <w:r w:rsidRPr="2049130F">
        <w:rPr>
          <w:i/>
          <w:iCs/>
        </w:rPr>
        <w:t>June 3, 2021</w:t>
      </w:r>
    </w:p>
    <w:p w14:paraId="088B673A" w14:textId="4F9F98EA" w:rsidR="1C3671E9" w:rsidRDefault="4EAB51AA" w:rsidP="64F74C1E">
      <w:pPr>
        <w:rPr>
          <w:rFonts w:eastAsia="Calibri"/>
          <w:i/>
          <w:iCs/>
        </w:rPr>
      </w:pPr>
      <w:r w:rsidRPr="64F74C1E">
        <w:rPr>
          <w:rFonts w:eastAsia="Calibri"/>
        </w:rPr>
        <w:t>Moved to approve by</w:t>
      </w:r>
      <w:r w:rsidRPr="64F74C1E">
        <w:rPr>
          <w:rFonts w:eastAsia="Calibri"/>
          <w:i/>
          <w:iCs/>
        </w:rPr>
        <w:t xml:space="preserve"> </w:t>
      </w:r>
      <w:r w:rsidR="26801096" w:rsidRPr="64F74C1E">
        <w:rPr>
          <w:rFonts w:eastAsia="Calibri"/>
          <w:i/>
          <w:iCs/>
        </w:rPr>
        <w:t>Vice President</w:t>
      </w:r>
      <w:r w:rsidRPr="64F74C1E">
        <w:rPr>
          <w:rFonts w:eastAsia="Calibri"/>
          <w:i/>
          <w:iCs/>
        </w:rPr>
        <w:t xml:space="preserve"> Foley; </w:t>
      </w:r>
      <w:r w:rsidRPr="64F74C1E">
        <w:rPr>
          <w:rFonts w:eastAsia="Calibri"/>
        </w:rPr>
        <w:t>seconded by</w:t>
      </w:r>
      <w:r w:rsidRPr="64F74C1E">
        <w:rPr>
          <w:rFonts w:eastAsia="Calibri"/>
          <w:i/>
          <w:iCs/>
        </w:rPr>
        <w:t xml:space="preserve"> </w:t>
      </w:r>
      <w:r w:rsidR="615EFAB9" w:rsidRPr="64F74C1E">
        <w:rPr>
          <w:rFonts w:eastAsia="Calibri"/>
          <w:i/>
          <w:iCs/>
        </w:rPr>
        <w:t>Provost</w:t>
      </w:r>
      <w:r w:rsidRPr="64F74C1E">
        <w:rPr>
          <w:rFonts w:eastAsia="Calibri"/>
          <w:i/>
          <w:iCs/>
        </w:rPr>
        <w:t xml:space="preserve"> Mott.</w:t>
      </w:r>
    </w:p>
    <w:p w14:paraId="5B8FF2BA" w14:textId="77777777" w:rsidR="003A0A29" w:rsidRPr="003A0A29" w:rsidRDefault="003A0A29" w:rsidP="003A0A29">
      <w:pPr>
        <w:pStyle w:val="ListParagraph"/>
        <w:spacing w:after="0" w:line="240" w:lineRule="auto"/>
        <w:rPr>
          <w:i/>
          <w:iCs/>
        </w:rPr>
      </w:pPr>
    </w:p>
    <w:p w14:paraId="1874D1EF" w14:textId="176D6A33" w:rsidR="1C3671E9" w:rsidRDefault="1C3671E9" w:rsidP="2049130F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 w:rsidRPr="2049130F">
        <w:rPr>
          <w:b/>
          <w:bCs/>
        </w:rPr>
        <w:t xml:space="preserve">Review FOAC Charge </w:t>
      </w:r>
      <w:r>
        <w:t xml:space="preserve">– </w:t>
      </w:r>
      <w:r w:rsidRPr="2049130F">
        <w:rPr>
          <w:i/>
          <w:iCs/>
        </w:rPr>
        <w:t>Chair DaSaro</w:t>
      </w:r>
    </w:p>
    <w:p w14:paraId="55FC7C9B" w14:textId="14B2D687" w:rsidR="5F547DFD" w:rsidRDefault="5F547DFD" w:rsidP="64F74C1E">
      <w:pPr>
        <w:rPr>
          <w:rFonts w:eastAsia="Calibri"/>
          <w:i/>
          <w:iCs/>
        </w:rPr>
      </w:pPr>
    </w:p>
    <w:p w14:paraId="222FCAFB" w14:textId="3CA4F38C" w:rsidR="39526DD7" w:rsidRDefault="1A5DE8AA" w:rsidP="64F74C1E">
      <w:pPr>
        <w:rPr>
          <w:rFonts w:eastAsia="Calibri"/>
        </w:rPr>
      </w:pPr>
      <w:r w:rsidRPr="64F74C1E">
        <w:rPr>
          <w:rFonts w:eastAsia="Calibri"/>
          <w:i/>
          <w:iCs/>
        </w:rPr>
        <w:t xml:space="preserve">Chair DaSaro </w:t>
      </w:r>
      <w:r w:rsidRPr="64F74C1E">
        <w:rPr>
          <w:rFonts w:eastAsia="Calibri"/>
        </w:rPr>
        <w:t xml:space="preserve">read the first section of the FOAC Charge </w:t>
      </w:r>
      <w:r w:rsidR="4B60ECF3" w:rsidRPr="64F74C1E">
        <w:rPr>
          <w:rFonts w:eastAsia="Calibri"/>
        </w:rPr>
        <w:t xml:space="preserve">aloud. </w:t>
      </w:r>
      <w:r w:rsidR="690AB946" w:rsidRPr="64F74C1E">
        <w:rPr>
          <w:rFonts w:eastAsia="Calibri"/>
        </w:rPr>
        <w:t>He asked everyone to read the second section to themselves.</w:t>
      </w:r>
    </w:p>
    <w:p w14:paraId="7190FC95" w14:textId="00F0AE74" w:rsidR="00063413" w:rsidRDefault="00063413" w:rsidP="00063413">
      <w:pPr>
        <w:pStyle w:val="ListParagraph"/>
        <w:spacing w:after="0" w:line="240" w:lineRule="auto"/>
        <w:contextualSpacing w:val="0"/>
        <w:rPr>
          <w:i/>
          <w:iCs/>
        </w:rPr>
      </w:pPr>
    </w:p>
    <w:p w14:paraId="1620781C" w14:textId="3880F536" w:rsidR="00B75090" w:rsidRDefault="3EEDCFA1" w:rsidP="2049130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i/>
          <w:iCs/>
        </w:rPr>
      </w:pPr>
      <w:r w:rsidRPr="2049130F">
        <w:rPr>
          <w:b/>
          <w:bCs/>
        </w:rPr>
        <w:t xml:space="preserve">FY21 Management Report (unaudited) </w:t>
      </w:r>
      <w:r w:rsidR="00B75090">
        <w:t xml:space="preserve">– </w:t>
      </w:r>
      <w:r w:rsidR="006D1AE8" w:rsidRPr="2049130F">
        <w:rPr>
          <w:i/>
          <w:iCs/>
        </w:rPr>
        <w:t>Vice President Harman</w:t>
      </w:r>
    </w:p>
    <w:p w14:paraId="523B642B" w14:textId="6C183171" w:rsidR="2049130F" w:rsidRDefault="2049130F" w:rsidP="2049130F">
      <w:pPr>
        <w:rPr>
          <w:rFonts w:eastAsia="Calibri"/>
          <w:i/>
          <w:iCs/>
        </w:rPr>
      </w:pPr>
    </w:p>
    <w:p w14:paraId="099275F7" w14:textId="608B31B2" w:rsidR="63A72501" w:rsidRDefault="22C1EB41" w:rsidP="64F74C1E">
      <w:pPr>
        <w:rPr>
          <w:rFonts w:eastAsia="Calibri"/>
          <w:i/>
          <w:iCs/>
        </w:rPr>
      </w:pPr>
      <w:r w:rsidRPr="64F74C1E">
        <w:rPr>
          <w:rFonts w:eastAsia="Calibri"/>
          <w:i/>
          <w:iCs/>
        </w:rPr>
        <w:t xml:space="preserve">Vice President Harman </w:t>
      </w:r>
      <w:r w:rsidRPr="64F74C1E">
        <w:rPr>
          <w:rFonts w:eastAsia="Calibri"/>
        </w:rPr>
        <w:t>presented the FY</w:t>
      </w:r>
      <w:r w:rsidR="003A0A29">
        <w:rPr>
          <w:rFonts w:eastAsia="Calibri"/>
        </w:rPr>
        <w:t>E 20</w:t>
      </w:r>
      <w:r w:rsidRPr="64F74C1E">
        <w:rPr>
          <w:rFonts w:eastAsia="Calibri"/>
        </w:rPr>
        <w:t>21 Management Report</w:t>
      </w:r>
      <w:r w:rsidR="74010C18" w:rsidRPr="64F74C1E">
        <w:rPr>
          <w:rFonts w:eastAsia="Calibri"/>
          <w:i/>
          <w:iCs/>
        </w:rPr>
        <w:t xml:space="preserve">. </w:t>
      </w:r>
      <w:r w:rsidRPr="64F74C1E">
        <w:rPr>
          <w:rFonts w:eastAsia="Calibri"/>
          <w:i/>
          <w:iCs/>
        </w:rPr>
        <w:t xml:space="preserve">Todd Breedlove requested </w:t>
      </w:r>
      <w:r w:rsidR="5A8C10D1" w:rsidRPr="64F74C1E">
        <w:rPr>
          <w:rFonts w:eastAsia="Calibri"/>
          <w:i/>
          <w:iCs/>
        </w:rPr>
        <w:t xml:space="preserve">a </w:t>
      </w:r>
      <w:r w:rsidR="22F9C84E" w:rsidRPr="64F74C1E">
        <w:rPr>
          <w:rFonts w:eastAsia="Calibri"/>
          <w:i/>
          <w:iCs/>
        </w:rPr>
        <w:t>breakdown</w:t>
      </w:r>
      <w:r w:rsidR="5A8C10D1" w:rsidRPr="64F74C1E">
        <w:rPr>
          <w:rFonts w:eastAsia="Calibri"/>
          <w:i/>
          <w:iCs/>
        </w:rPr>
        <w:t xml:space="preserve"> between administrative and faculty salaries</w:t>
      </w:r>
      <w:r w:rsidR="064C710D" w:rsidRPr="64F74C1E">
        <w:rPr>
          <w:rFonts w:eastAsia="Calibri"/>
          <w:i/>
          <w:iCs/>
        </w:rPr>
        <w:t xml:space="preserve">. </w:t>
      </w:r>
      <w:r w:rsidR="5A8C10D1" w:rsidRPr="64F74C1E">
        <w:rPr>
          <w:rFonts w:eastAsia="Calibri"/>
          <w:i/>
          <w:iCs/>
        </w:rPr>
        <w:t xml:space="preserve">Dibyajyoti Deb </w:t>
      </w:r>
      <w:r w:rsidR="5A8C10D1" w:rsidRPr="64F74C1E">
        <w:rPr>
          <w:rFonts w:eastAsia="Calibri"/>
        </w:rPr>
        <w:t xml:space="preserve">asked if there was </w:t>
      </w:r>
      <w:r w:rsidR="5CAE8E94" w:rsidRPr="64F74C1E">
        <w:rPr>
          <w:rFonts w:eastAsia="Calibri"/>
        </w:rPr>
        <w:t>savings</w:t>
      </w:r>
      <w:r w:rsidR="5A8C10D1" w:rsidRPr="64F74C1E">
        <w:rPr>
          <w:rFonts w:eastAsia="Calibri"/>
        </w:rPr>
        <w:t xml:space="preserve"> from faculty salaries</w:t>
      </w:r>
      <w:r w:rsidR="476C130D" w:rsidRPr="64F74C1E">
        <w:rPr>
          <w:rFonts w:eastAsia="Calibri"/>
        </w:rPr>
        <w:t xml:space="preserve">. </w:t>
      </w:r>
      <w:r w:rsidR="5910D04C" w:rsidRPr="64F74C1E">
        <w:rPr>
          <w:rFonts w:eastAsia="Calibri"/>
          <w:i/>
          <w:iCs/>
        </w:rPr>
        <w:t>Vice President</w:t>
      </w:r>
      <w:r w:rsidR="17B6DF8F" w:rsidRPr="64F74C1E">
        <w:rPr>
          <w:rFonts w:eastAsia="Calibri"/>
          <w:i/>
          <w:iCs/>
        </w:rPr>
        <w:t xml:space="preserve"> Harman </w:t>
      </w:r>
      <w:r w:rsidR="17B6DF8F" w:rsidRPr="64F74C1E">
        <w:rPr>
          <w:rFonts w:eastAsia="Calibri"/>
        </w:rPr>
        <w:t xml:space="preserve">stated that with the extra workloads, </w:t>
      </w:r>
      <w:r w:rsidR="003A0A29">
        <w:rPr>
          <w:rFonts w:eastAsia="Calibri"/>
        </w:rPr>
        <w:t xml:space="preserve">actual </w:t>
      </w:r>
      <w:r w:rsidR="17B6DF8F" w:rsidRPr="64F74C1E">
        <w:rPr>
          <w:rFonts w:eastAsia="Calibri"/>
        </w:rPr>
        <w:t xml:space="preserve">salaries were about even </w:t>
      </w:r>
      <w:r w:rsidR="003A0A29">
        <w:rPr>
          <w:rFonts w:eastAsia="Calibri"/>
        </w:rPr>
        <w:t>with</w:t>
      </w:r>
      <w:r w:rsidR="17B6DF8F" w:rsidRPr="64F74C1E">
        <w:rPr>
          <w:rFonts w:eastAsia="Calibri"/>
        </w:rPr>
        <w:t xml:space="preserve"> the projected amount</w:t>
      </w:r>
      <w:r w:rsidR="5E83211C" w:rsidRPr="64F74C1E">
        <w:rPr>
          <w:rFonts w:eastAsia="Calibri"/>
        </w:rPr>
        <w:t xml:space="preserve">. </w:t>
      </w:r>
      <w:r w:rsidR="17B6DF8F" w:rsidRPr="64F74C1E">
        <w:rPr>
          <w:rFonts w:eastAsia="Calibri"/>
          <w:i/>
          <w:iCs/>
        </w:rPr>
        <w:t>Jack Zoucha</w:t>
      </w:r>
      <w:r w:rsidR="17B6DF8F" w:rsidRPr="64F74C1E">
        <w:rPr>
          <w:rFonts w:eastAsia="Calibri"/>
        </w:rPr>
        <w:t xml:space="preserve"> asked for a breakdown showing the </w:t>
      </w:r>
      <w:r w:rsidR="6D5D2957" w:rsidRPr="64F74C1E">
        <w:rPr>
          <w:rFonts w:eastAsia="Calibri"/>
        </w:rPr>
        <w:t>revenue</w:t>
      </w:r>
      <w:r w:rsidR="17B6DF8F" w:rsidRPr="64F74C1E">
        <w:rPr>
          <w:rFonts w:eastAsia="Calibri"/>
        </w:rPr>
        <w:t xml:space="preserve"> from the Klamath Falls </w:t>
      </w:r>
      <w:r w:rsidR="5F6B9AD5" w:rsidRPr="64F74C1E">
        <w:rPr>
          <w:rFonts w:eastAsia="Calibri"/>
        </w:rPr>
        <w:t>Campus and Portland Metro Campus tuition and fees.</w:t>
      </w:r>
    </w:p>
    <w:p w14:paraId="6DEA12F7" w14:textId="77777777" w:rsidR="00063413" w:rsidRPr="00063413" w:rsidRDefault="00063413" w:rsidP="00063413">
      <w:pPr>
        <w:rPr>
          <w:i/>
          <w:iCs/>
        </w:rPr>
      </w:pPr>
    </w:p>
    <w:p w14:paraId="0F3CA664" w14:textId="027603B8" w:rsidR="00063413" w:rsidRDefault="006D1AE8" w:rsidP="2049130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i/>
          <w:iCs/>
        </w:rPr>
      </w:pPr>
      <w:r w:rsidRPr="2049130F">
        <w:rPr>
          <w:b/>
          <w:bCs/>
        </w:rPr>
        <w:t xml:space="preserve">FY22 </w:t>
      </w:r>
      <w:r w:rsidR="6EC7AA57" w:rsidRPr="2049130F">
        <w:rPr>
          <w:b/>
          <w:bCs/>
        </w:rPr>
        <w:t>Quarter 1</w:t>
      </w:r>
      <w:r w:rsidR="63904DEC" w:rsidRPr="2049130F">
        <w:rPr>
          <w:b/>
          <w:bCs/>
        </w:rPr>
        <w:t xml:space="preserve"> Management Report</w:t>
      </w:r>
      <w:r w:rsidR="6EC7AA57" w:rsidRPr="2049130F">
        <w:rPr>
          <w:b/>
          <w:bCs/>
        </w:rPr>
        <w:t xml:space="preserve"> </w:t>
      </w:r>
      <w:r w:rsidR="00063413">
        <w:t xml:space="preserve">– </w:t>
      </w:r>
      <w:r w:rsidRPr="2049130F">
        <w:rPr>
          <w:i/>
          <w:iCs/>
        </w:rPr>
        <w:t>Vice President Harman</w:t>
      </w:r>
    </w:p>
    <w:p w14:paraId="4F29983D" w14:textId="77777777" w:rsidR="00C97594" w:rsidRDefault="00C97594" w:rsidP="00C97594">
      <w:pPr>
        <w:pStyle w:val="ListParagraph"/>
        <w:spacing w:after="0" w:line="240" w:lineRule="auto"/>
        <w:contextualSpacing w:val="0"/>
      </w:pPr>
    </w:p>
    <w:p w14:paraId="39CCA7E6" w14:textId="5DCC490B" w:rsidR="005A6734" w:rsidRPr="005A6734" w:rsidRDefault="2D05AFB0" w:rsidP="00211422">
      <w:pPr>
        <w:pStyle w:val="ListParagraph"/>
        <w:ind w:left="0"/>
      </w:pPr>
      <w:r w:rsidRPr="64F74C1E">
        <w:rPr>
          <w:i/>
          <w:iCs/>
        </w:rPr>
        <w:lastRenderedPageBreak/>
        <w:t>Vice President</w:t>
      </w:r>
      <w:r w:rsidR="09139BF6" w:rsidRPr="64F74C1E">
        <w:rPr>
          <w:i/>
          <w:iCs/>
        </w:rPr>
        <w:t xml:space="preserve"> Harman </w:t>
      </w:r>
      <w:r w:rsidR="09139BF6" w:rsidRPr="64F74C1E">
        <w:t>presented the FY</w:t>
      </w:r>
      <w:r w:rsidR="003A0A29">
        <w:t xml:space="preserve"> 20</w:t>
      </w:r>
      <w:r w:rsidR="09139BF6" w:rsidRPr="64F74C1E">
        <w:t xml:space="preserve">22 Quarter 1 </w:t>
      </w:r>
      <w:r w:rsidR="526F34A1" w:rsidRPr="64F74C1E">
        <w:t>Management</w:t>
      </w:r>
      <w:r w:rsidR="09139BF6" w:rsidRPr="64F74C1E">
        <w:t xml:space="preserve"> Report</w:t>
      </w:r>
      <w:r w:rsidR="1AB7FDB0" w:rsidRPr="64F74C1E">
        <w:rPr>
          <w:i/>
          <w:iCs/>
        </w:rPr>
        <w:t xml:space="preserve">. </w:t>
      </w:r>
      <w:r w:rsidR="09139BF6" w:rsidRPr="64F74C1E">
        <w:rPr>
          <w:i/>
          <w:iCs/>
        </w:rPr>
        <w:t xml:space="preserve">Dibyajyoti Deb </w:t>
      </w:r>
      <w:r w:rsidR="09139BF6" w:rsidRPr="64F74C1E">
        <w:t xml:space="preserve">asked if the report </w:t>
      </w:r>
      <w:r w:rsidR="230804FC" w:rsidRPr="64F74C1E">
        <w:t>included</w:t>
      </w:r>
      <w:r w:rsidR="09139BF6" w:rsidRPr="64F74C1E">
        <w:t xml:space="preserve"> the upcoming funding decrease</w:t>
      </w:r>
      <w:r w:rsidR="003A0A29">
        <w:t xml:space="preserve"> from the state SSCM revision</w:t>
      </w:r>
      <w:r w:rsidR="25811CAF" w:rsidRPr="64F74C1E">
        <w:t xml:space="preserve">. </w:t>
      </w:r>
      <w:r w:rsidR="718CF923" w:rsidRPr="64F74C1E">
        <w:rPr>
          <w:i/>
          <w:iCs/>
        </w:rPr>
        <w:t>Vice President</w:t>
      </w:r>
      <w:r w:rsidR="09139BF6" w:rsidRPr="64F74C1E">
        <w:rPr>
          <w:i/>
          <w:iCs/>
        </w:rPr>
        <w:t xml:space="preserve"> Harman</w:t>
      </w:r>
      <w:r w:rsidR="09139BF6" w:rsidRPr="64F74C1E">
        <w:t xml:space="preserve"> said no, that will impact next year’s numbers</w:t>
      </w:r>
      <w:r w:rsidR="0DC76064" w:rsidRPr="64F74C1E">
        <w:t xml:space="preserve">. </w:t>
      </w:r>
      <w:r w:rsidR="38B3189F" w:rsidRPr="64F74C1E">
        <w:rPr>
          <w:i/>
          <w:iCs/>
        </w:rPr>
        <w:t>Provost</w:t>
      </w:r>
      <w:r w:rsidR="09139BF6" w:rsidRPr="64F74C1E">
        <w:rPr>
          <w:i/>
          <w:iCs/>
        </w:rPr>
        <w:t xml:space="preserve"> Mott</w:t>
      </w:r>
      <w:r w:rsidR="6C7D32F6" w:rsidRPr="64F74C1E">
        <w:rPr>
          <w:i/>
          <w:iCs/>
        </w:rPr>
        <w:t xml:space="preserve"> </w:t>
      </w:r>
      <w:r w:rsidR="786F5642" w:rsidRPr="64F74C1E">
        <w:t xml:space="preserve">asked </w:t>
      </w:r>
      <w:r w:rsidR="604D34C5" w:rsidRPr="64F74C1E">
        <w:t xml:space="preserve">if </w:t>
      </w:r>
      <w:r w:rsidR="786F5642" w:rsidRPr="64F74C1E">
        <w:t>with</w:t>
      </w:r>
      <w:r w:rsidR="6C7D32F6" w:rsidRPr="64F74C1E">
        <w:t xml:space="preserve"> the $5</w:t>
      </w:r>
      <w:r w:rsidR="00C33C16">
        <w:t xml:space="preserve">.5 million </w:t>
      </w:r>
      <w:r w:rsidR="00DE2F62">
        <w:t>one-time special item funds, would we still see a funding reduction in FY 2023</w:t>
      </w:r>
      <w:r w:rsidR="066B8E3E" w:rsidRPr="64F74C1E">
        <w:t xml:space="preserve">. </w:t>
      </w:r>
      <w:r w:rsidR="5D286662" w:rsidRPr="64F74C1E">
        <w:rPr>
          <w:i/>
          <w:iCs/>
        </w:rPr>
        <w:t xml:space="preserve">Vice President </w:t>
      </w:r>
      <w:r w:rsidR="3739E489" w:rsidRPr="64F74C1E">
        <w:rPr>
          <w:i/>
          <w:iCs/>
        </w:rPr>
        <w:t xml:space="preserve">Harman </w:t>
      </w:r>
      <w:r w:rsidR="3739E489" w:rsidRPr="64F74C1E">
        <w:t>said yes</w:t>
      </w:r>
      <w:r w:rsidR="003A0A29">
        <w:t xml:space="preserve"> from formula driven revenues</w:t>
      </w:r>
      <w:r w:rsidR="3739E489" w:rsidRPr="64F74C1E">
        <w:t>.</w:t>
      </w:r>
    </w:p>
    <w:p w14:paraId="54E93D6C" w14:textId="11015F80" w:rsidR="2049130F" w:rsidRDefault="2049130F" w:rsidP="64F74C1E">
      <w:pPr>
        <w:pStyle w:val="ListParagraph"/>
      </w:pPr>
    </w:p>
    <w:p w14:paraId="103DF845" w14:textId="21057410" w:rsidR="005A6734" w:rsidRDefault="05C1523D" w:rsidP="2049130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i/>
          <w:iCs/>
        </w:rPr>
      </w:pPr>
      <w:r w:rsidRPr="2049130F">
        <w:rPr>
          <w:b/>
          <w:bCs/>
        </w:rPr>
        <w:t>Outstanding Bond Debt by Classification</w:t>
      </w:r>
      <w:r w:rsidR="005A6734" w:rsidRPr="2049130F">
        <w:rPr>
          <w:b/>
          <w:bCs/>
        </w:rPr>
        <w:t xml:space="preserve"> </w:t>
      </w:r>
      <w:r w:rsidR="005A6734">
        <w:t xml:space="preserve">– </w:t>
      </w:r>
      <w:r w:rsidR="005A6734" w:rsidRPr="2049130F">
        <w:rPr>
          <w:i/>
          <w:iCs/>
        </w:rPr>
        <w:t>Vice President Harman</w:t>
      </w:r>
    </w:p>
    <w:p w14:paraId="7DA3ACE1" w14:textId="77777777" w:rsidR="00C97594" w:rsidRDefault="00C97594" w:rsidP="00C97594">
      <w:pPr>
        <w:pStyle w:val="ListParagraph"/>
        <w:spacing w:after="0" w:line="240" w:lineRule="auto"/>
        <w:contextualSpacing w:val="0"/>
      </w:pPr>
    </w:p>
    <w:p w14:paraId="75FA8FC3" w14:textId="42CD8158" w:rsidR="233477E5" w:rsidRDefault="50CB914D" w:rsidP="00211422">
      <w:pPr>
        <w:pStyle w:val="ListParagraph"/>
        <w:spacing w:after="0" w:line="240" w:lineRule="auto"/>
        <w:ind w:left="0"/>
      </w:pPr>
      <w:r w:rsidRPr="64F74C1E">
        <w:rPr>
          <w:i/>
          <w:iCs/>
        </w:rPr>
        <w:t xml:space="preserve">Vice President </w:t>
      </w:r>
      <w:r w:rsidR="5D0ECCAF" w:rsidRPr="64F74C1E">
        <w:rPr>
          <w:i/>
          <w:iCs/>
        </w:rPr>
        <w:t>Harman</w:t>
      </w:r>
      <w:r w:rsidR="5D0ECCAF">
        <w:t xml:space="preserve"> reviewed Exhibit E which shows the </w:t>
      </w:r>
      <w:r w:rsidR="003A0A29">
        <w:t xml:space="preserve">different types and amounts of </w:t>
      </w:r>
      <w:r w:rsidR="00F146DF">
        <w:t xml:space="preserve">outstanding </w:t>
      </w:r>
      <w:r w:rsidR="5D0ECCAF">
        <w:t>bond debts</w:t>
      </w:r>
      <w:r w:rsidR="003A0A29">
        <w:t xml:space="preserve"> along with repayment amounts</w:t>
      </w:r>
      <w:r w:rsidR="5D0ECCAF">
        <w:t>.</w:t>
      </w:r>
    </w:p>
    <w:p w14:paraId="3BE6DEC8" w14:textId="77777777" w:rsidR="007F6D76" w:rsidRPr="007F6D76" w:rsidRDefault="007F6D76" w:rsidP="007F6D76">
      <w:pPr>
        <w:pStyle w:val="ListParagraph"/>
        <w:rPr>
          <w:i/>
          <w:iCs/>
        </w:rPr>
      </w:pPr>
    </w:p>
    <w:p w14:paraId="5BEC023A" w14:textId="4F982657" w:rsidR="007F6D76" w:rsidRDefault="00E0175D" w:rsidP="2049130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i/>
          <w:iCs/>
        </w:rPr>
      </w:pPr>
      <w:r w:rsidRPr="2049130F">
        <w:rPr>
          <w:b/>
          <w:bCs/>
        </w:rPr>
        <w:t>COVID</w:t>
      </w:r>
      <w:r w:rsidR="007907AD" w:rsidRPr="2049130F">
        <w:rPr>
          <w:b/>
          <w:bCs/>
        </w:rPr>
        <w:t>-</w:t>
      </w:r>
      <w:r w:rsidRPr="2049130F">
        <w:rPr>
          <w:b/>
          <w:bCs/>
        </w:rPr>
        <w:t>19</w:t>
      </w:r>
      <w:r w:rsidR="007F6D76" w:rsidRPr="2049130F">
        <w:rPr>
          <w:b/>
          <w:bCs/>
        </w:rPr>
        <w:t xml:space="preserve"> </w:t>
      </w:r>
      <w:r w:rsidR="35E408EF" w:rsidRPr="2049130F">
        <w:rPr>
          <w:b/>
          <w:bCs/>
        </w:rPr>
        <w:t xml:space="preserve">Relief </w:t>
      </w:r>
      <w:r w:rsidR="007F6D76" w:rsidRPr="2049130F">
        <w:rPr>
          <w:b/>
          <w:bCs/>
        </w:rPr>
        <w:t xml:space="preserve">Funds </w:t>
      </w:r>
      <w:r w:rsidR="08ED80E2" w:rsidRPr="2049130F">
        <w:rPr>
          <w:b/>
          <w:bCs/>
        </w:rPr>
        <w:t>Summary</w:t>
      </w:r>
      <w:r w:rsidR="007F6D76">
        <w:t xml:space="preserve"> – </w:t>
      </w:r>
      <w:r w:rsidR="007F6D76" w:rsidRPr="2049130F">
        <w:rPr>
          <w:i/>
          <w:iCs/>
        </w:rPr>
        <w:t>Vice President Harman</w:t>
      </w:r>
    </w:p>
    <w:p w14:paraId="229BF2C9" w14:textId="43FA860B" w:rsidR="2049130F" w:rsidRDefault="2049130F" w:rsidP="2049130F">
      <w:pPr>
        <w:rPr>
          <w:rFonts w:eastAsia="Calibri"/>
          <w:i/>
          <w:iCs/>
        </w:rPr>
      </w:pPr>
    </w:p>
    <w:p w14:paraId="51D2A848" w14:textId="7138AC6B" w:rsidR="3559CA76" w:rsidRDefault="57460220" w:rsidP="64F74C1E">
      <w:pPr>
        <w:rPr>
          <w:rFonts w:eastAsia="Calibri"/>
        </w:rPr>
      </w:pPr>
      <w:r w:rsidRPr="64F74C1E">
        <w:rPr>
          <w:rFonts w:eastAsia="Calibri"/>
          <w:i/>
          <w:iCs/>
        </w:rPr>
        <w:t>Vice President</w:t>
      </w:r>
      <w:r w:rsidR="2631D693" w:rsidRPr="64F74C1E">
        <w:rPr>
          <w:rFonts w:eastAsia="Calibri"/>
          <w:i/>
          <w:iCs/>
        </w:rPr>
        <w:t xml:space="preserve"> Harman</w:t>
      </w:r>
      <w:r w:rsidR="2631D693" w:rsidRPr="64F74C1E">
        <w:rPr>
          <w:rFonts w:eastAsia="Calibri"/>
        </w:rPr>
        <w:t xml:space="preserve"> reviewed the </w:t>
      </w:r>
      <w:r w:rsidR="003A0A29">
        <w:rPr>
          <w:rFonts w:eastAsia="Calibri"/>
        </w:rPr>
        <w:t xml:space="preserve">federal </w:t>
      </w:r>
      <w:r w:rsidR="2631D693" w:rsidRPr="64F74C1E">
        <w:rPr>
          <w:rFonts w:eastAsia="Calibri"/>
        </w:rPr>
        <w:t xml:space="preserve">COVID-19 Relief Funds </w:t>
      </w:r>
      <w:r w:rsidR="003A0A29">
        <w:rPr>
          <w:rFonts w:eastAsia="Calibri"/>
        </w:rPr>
        <w:t xml:space="preserve">awarded and </w:t>
      </w:r>
      <w:r w:rsidR="2631D693" w:rsidRPr="64F74C1E">
        <w:rPr>
          <w:rFonts w:eastAsia="Calibri"/>
        </w:rPr>
        <w:t>spen</w:t>
      </w:r>
      <w:r w:rsidR="003A0A29">
        <w:rPr>
          <w:rFonts w:eastAsia="Calibri"/>
        </w:rPr>
        <w:t>t</w:t>
      </w:r>
      <w:r w:rsidR="2631D693" w:rsidRPr="64F74C1E">
        <w:rPr>
          <w:rFonts w:eastAsia="Calibri"/>
        </w:rPr>
        <w:t xml:space="preserve"> to date</w:t>
      </w:r>
      <w:r w:rsidR="003A0A29">
        <w:rPr>
          <w:rFonts w:eastAsia="Calibri"/>
        </w:rPr>
        <w:t xml:space="preserve"> by type</w:t>
      </w:r>
      <w:r w:rsidR="2631D693" w:rsidRPr="64F74C1E">
        <w:rPr>
          <w:rFonts w:eastAsia="Calibri"/>
        </w:rPr>
        <w:t>.</w:t>
      </w:r>
      <w:r w:rsidR="2631D693" w:rsidRPr="64F74C1E">
        <w:rPr>
          <w:rFonts w:eastAsia="Calibri"/>
          <w:i/>
          <w:iCs/>
        </w:rPr>
        <w:t xml:space="preserve"> </w:t>
      </w:r>
      <w:r w:rsidR="34CA2C42" w:rsidRPr="64F74C1E">
        <w:rPr>
          <w:rFonts w:eastAsia="Calibri"/>
          <w:i/>
          <w:iCs/>
        </w:rPr>
        <w:t>Provost</w:t>
      </w:r>
      <w:r w:rsidR="2631D693" w:rsidRPr="64F74C1E">
        <w:rPr>
          <w:rFonts w:eastAsia="Calibri"/>
          <w:i/>
          <w:iCs/>
        </w:rPr>
        <w:t xml:space="preserve"> Mott </w:t>
      </w:r>
      <w:r w:rsidR="2631D693" w:rsidRPr="64F74C1E">
        <w:rPr>
          <w:rFonts w:eastAsia="Calibri"/>
        </w:rPr>
        <w:t xml:space="preserve">discussed the </w:t>
      </w:r>
      <w:r w:rsidR="477D5269" w:rsidRPr="64F74C1E">
        <w:rPr>
          <w:rFonts w:eastAsia="Calibri"/>
        </w:rPr>
        <w:t>portion of student spending to include $500 for every student on technology. TOP Students and Pell Eligible students h</w:t>
      </w:r>
      <w:r w:rsidR="566D1B74" w:rsidRPr="64F74C1E">
        <w:rPr>
          <w:rFonts w:eastAsia="Calibri"/>
        </w:rPr>
        <w:t>ave also received funds</w:t>
      </w:r>
      <w:r w:rsidR="57BC0F51" w:rsidRPr="64F74C1E">
        <w:rPr>
          <w:rFonts w:eastAsia="Calibri"/>
        </w:rPr>
        <w:t xml:space="preserve">. </w:t>
      </w:r>
      <w:r w:rsidR="566D1B74" w:rsidRPr="64F74C1E">
        <w:rPr>
          <w:rFonts w:eastAsia="Calibri"/>
        </w:rPr>
        <w:t>Information will be coming soon a</w:t>
      </w:r>
      <w:r w:rsidR="5132E778" w:rsidRPr="64F74C1E">
        <w:rPr>
          <w:rFonts w:eastAsia="Calibri"/>
        </w:rPr>
        <w:t>bout an extension of spending the funds so the funds can be spread out to benefit more students.</w:t>
      </w:r>
    </w:p>
    <w:p w14:paraId="3C626A23" w14:textId="40A1DABE" w:rsidR="2049130F" w:rsidRDefault="2049130F" w:rsidP="2049130F">
      <w:pPr>
        <w:rPr>
          <w:rFonts w:eastAsia="Calibri"/>
          <w:i/>
          <w:iCs/>
        </w:rPr>
      </w:pPr>
    </w:p>
    <w:p w14:paraId="55D5E730" w14:textId="37F760D2" w:rsidR="57078F5E" w:rsidRDefault="37699BD4" w:rsidP="64F74C1E">
      <w:pPr>
        <w:rPr>
          <w:rFonts w:eastAsia="Calibri"/>
        </w:rPr>
      </w:pPr>
      <w:r w:rsidRPr="64F74C1E">
        <w:rPr>
          <w:rFonts w:eastAsia="Calibri"/>
          <w:i/>
          <w:iCs/>
        </w:rPr>
        <w:t>Vice President</w:t>
      </w:r>
      <w:r w:rsidR="5132E778" w:rsidRPr="64F74C1E">
        <w:rPr>
          <w:rFonts w:eastAsia="Calibri"/>
          <w:i/>
          <w:iCs/>
        </w:rPr>
        <w:t xml:space="preserve"> Harman </w:t>
      </w:r>
      <w:r w:rsidR="5082613E" w:rsidRPr="64F74C1E">
        <w:rPr>
          <w:rFonts w:eastAsia="Calibri"/>
        </w:rPr>
        <w:t>said</w:t>
      </w:r>
      <w:r w:rsidR="5132E778" w:rsidRPr="64F74C1E">
        <w:rPr>
          <w:rFonts w:eastAsia="Calibri"/>
        </w:rPr>
        <w:t xml:space="preserve"> that the COVID funds are being used as strategically as possible</w:t>
      </w:r>
      <w:r w:rsidR="003A0A29">
        <w:rPr>
          <w:rFonts w:eastAsia="Calibri"/>
        </w:rPr>
        <w:t xml:space="preserve"> and must follow specific</w:t>
      </w:r>
      <w:r w:rsidR="5132E778" w:rsidRPr="64F74C1E">
        <w:rPr>
          <w:rFonts w:eastAsia="Calibri"/>
        </w:rPr>
        <w:t xml:space="preserve"> federal guidelines.</w:t>
      </w:r>
      <w:r w:rsidR="477D5269" w:rsidRPr="64F74C1E">
        <w:rPr>
          <w:rFonts w:eastAsia="Calibri"/>
        </w:rPr>
        <w:t xml:space="preserve"> </w:t>
      </w:r>
      <w:r w:rsidR="00E844A4">
        <w:rPr>
          <w:rFonts w:eastAsia="Calibri"/>
        </w:rPr>
        <w:t xml:space="preserve">A committee has been in place for several months to review requests for projects </w:t>
      </w:r>
      <w:r w:rsidR="00AB3AC8">
        <w:rPr>
          <w:rFonts w:eastAsia="Calibri"/>
        </w:rPr>
        <w:t>for funding under the federal guidelines.</w:t>
      </w:r>
      <w:r w:rsidR="003A0A29">
        <w:rPr>
          <w:rFonts w:eastAsia="Calibri"/>
        </w:rPr>
        <w:t xml:space="preserve"> </w:t>
      </w:r>
    </w:p>
    <w:p w14:paraId="313ADA12" w14:textId="2E573F6E" w:rsidR="005A6734" w:rsidRDefault="005A6734" w:rsidP="005A6734">
      <w:pPr>
        <w:rPr>
          <w:i/>
          <w:iCs/>
        </w:rPr>
      </w:pPr>
    </w:p>
    <w:p w14:paraId="64293BA5" w14:textId="0141946C" w:rsidR="005A6734" w:rsidRPr="005A6734" w:rsidRDefault="672451C0" w:rsidP="2049130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i/>
          <w:iCs/>
        </w:rPr>
      </w:pPr>
      <w:r w:rsidRPr="2049130F">
        <w:rPr>
          <w:b/>
          <w:bCs/>
        </w:rPr>
        <w:t>Capital Projects Update</w:t>
      </w:r>
      <w:r w:rsidR="005A6734" w:rsidRPr="2049130F">
        <w:rPr>
          <w:b/>
          <w:bCs/>
        </w:rPr>
        <w:t xml:space="preserve"> </w:t>
      </w:r>
      <w:r w:rsidR="005A6734">
        <w:t xml:space="preserve">– </w:t>
      </w:r>
      <w:r w:rsidR="784E7CC2" w:rsidRPr="2049130F">
        <w:rPr>
          <w:i/>
          <w:iCs/>
        </w:rPr>
        <w:t>Thom Darrah</w:t>
      </w:r>
    </w:p>
    <w:p w14:paraId="11E274B5" w14:textId="5DC2CF7F" w:rsidR="2049130F" w:rsidRDefault="2049130F" w:rsidP="2049130F">
      <w:pPr>
        <w:rPr>
          <w:rFonts w:eastAsia="Calibri"/>
          <w:i/>
          <w:iCs/>
        </w:rPr>
      </w:pPr>
    </w:p>
    <w:p w14:paraId="5715F801" w14:textId="4D5E23F7" w:rsidR="30B6B6B5" w:rsidRDefault="59EDFEA3" w:rsidP="64F74C1E">
      <w:pPr>
        <w:rPr>
          <w:rFonts w:eastAsia="Calibri"/>
        </w:rPr>
      </w:pPr>
      <w:r w:rsidRPr="64F74C1E">
        <w:rPr>
          <w:rFonts w:eastAsia="Calibri"/>
          <w:i/>
          <w:iCs/>
        </w:rPr>
        <w:t xml:space="preserve">Facilities Director </w:t>
      </w:r>
      <w:r w:rsidR="5A74F2E9" w:rsidRPr="64F74C1E">
        <w:rPr>
          <w:rFonts w:eastAsia="Calibri"/>
          <w:i/>
          <w:iCs/>
        </w:rPr>
        <w:t>Thom</w:t>
      </w:r>
      <w:r w:rsidR="4DDEEC9D" w:rsidRPr="64F74C1E">
        <w:rPr>
          <w:rFonts w:eastAsia="Calibri"/>
          <w:i/>
          <w:iCs/>
        </w:rPr>
        <w:t xml:space="preserve"> Darrah</w:t>
      </w:r>
      <w:r w:rsidR="5A74F2E9" w:rsidRPr="64F74C1E">
        <w:rPr>
          <w:rFonts w:eastAsia="Calibri"/>
          <w:i/>
          <w:iCs/>
        </w:rPr>
        <w:t xml:space="preserve"> </w:t>
      </w:r>
      <w:r w:rsidR="5A74F2E9" w:rsidRPr="64F74C1E">
        <w:rPr>
          <w:rFonts w:eastAsia="Calibri"/>
        </w:rPr>
        <w:t>presented an update on capital projects.</w:t>
      </w:r>
    </w:p>
    <w:p w14:paraId="448342D3" w14:textId="1E5C5122" w:rsidR="2049130F" w:rsidRDefault="2049130F" w:rsidP="2049130F">
      <w:pPr>
        <w:rPr>
          <w:rFonts w:eastAsia="Calibri"/>
          <w:i/>
          <w:iCs/>
        </w:rPr>
      </w:pPr>
    </w:p>
    <w:p w14:paraId="74D0224B" w14:textId="7445C48A" w:rsidR="000D34F3" w:rsidRPr="00C27820" w:rsidRDefault="7B1FBE2C" w:rsidP="2049130F">
      <w:pPr>
        <w:rPr>
          <w:rFonts w:eastAsia="Calibri"/>
        </w:rPr>
      </w:pPr>
      <w:r w:rsidRPr="64F74C1E">
        <w:rPr>
          <w:rFonts w:eastAsia="Calibri"/>
          <w:i/>
          <w:iCs/>
        </w:rPr>
        <w:t>Todd Breedlove</w:t>
      </w:r>
      <w:r w:rsidRPr="64F74C1E">
        <w:rPr>
          <w:rFonts w:eastAsia="Calibri"/>
        </w:rPr>
        <w:t>- Residence Hall initiative was not brought to FOAC</w:t>
      </w:r>
      <w:r w:rsidR="270609F0" w:rsidRPr="64F74C1E">
        <w:rPr>
          <w:rFonts w:eastAsia="Calibri"/>
        </w:rPr>
        <w:t xml:space="preserve">. </w:t>
      </w:r>
      <w:r w:rsidRPr="64F74C1E">
        <w:rPr>
          <w:rFonts w:eastAsia="Calibri"/>
        </w:rPr>
        <w:t>Should we be discussing this as a council</w:t>
      </w:r>
      <w:r w:rsidR="12B07F93" w:rsidRPr="64F74C1E">
        <w:rPr>
          <w:rFonts w:eastAsia="Calibri"/>
        </w:rPr>
        <w:t xml:space="preserve">? </w:t>
      </w:r>
      <w:r w:rsidR="18543434" w:rsidRPr="64F74C1E">
        <w:rPr>
          <w:rFonts w:eastAsia="Calibri"/>
          <w:i/>
          <w:iCs/>
        </w:rPr>
        <w:t>Vice President</w:t>
      </w:r>
      <w:r w:rsidRPr="64F74C1E">
        <w:rPr>
          <w:rFonts w:eastAsia="Calibri"/>
          <w:i/>
          <w:iCs/>
        </w:rPr>
        <w:t xml:space="preserve"> Harman</w:t>
      </w:r>
      <w:r w:rsidRPr="64F74C1E">
        <w:rPr>
          <w:rFonts w:eastAsia="Calibri"/>
        </w:rPr>
        <w:t xml:space="preserve"> </w:t>
      </w:r>
      <w:r w:rsidR="003A0A29">
        <w:rPr>
          <w:rFonts w:eastAsia="Calibri"/>
        </w:rPr>
        <w:t>indicated that h</w:t>
      </w:r>
      <w:r w:rsidRPr="64F74C1E">
        <w:rPr>
          <w:rFonts w:eastAsia="Calibri"/>
        </w:rPr>
        <w:t>e presented the R</w:t>
      </w:r>
      <w:r w:rsidR="7078BAFC" w:rsidRPr="64F74C1E">
        <w:rPr>
          <w:rFonts w:eastAsia="Calibri"/>
        </w:rPr>
        <w:t xml:space="preserve">esidence Hall </w:t>
      </w:r>
      <w:r w:rsidR="519A5AC2" w:rsidRPr="64F74C1E">
        <w:rPr>
          <w:rFonts w:eastAsia="Calibri"/>
        </w:rPr>
        <w:t>initiative</w:t>
      </w:r>
      <w:r w:rsidR="7078BAFC" w:rsidRPr="64F74C1E">
        <w:rPr>
          <w:rFonts w:eastAsia="Calibri"/>
        </w:rPr>
        <w:t xml:space="preserve"> to the Board </w:t>
      </w:r>
      <w:r w:rsidR="00AB3AC8">
        <w:rPr>
          <w:rFonts w:eastAsia="Calibri"/>
        </w:rPr>
        <w:t xml:space="preserve">in April </w:t>
      </w:r>
      <w:r w:rsidR="7078BAFC" w:rsidRPr="64F74C1E">
        <w:rPr>
          <w:rFonts w:eastAsia="Calibri"/>
        </w:rPr>
        <w:t xml:space="preserve">when he </w:t>
      </w:r>
      <w:r w:rsidR="4955F944" w:rsidRPr="64F74C1E">
        <w:rPr>
          <w:rFonts w:eastAsia="Calibri"/>
        </w:rPr>
        <w:t xml:space="preserve">first </w:t>
      </w:r>
      <w:r w:rsidR="00AB3AC8">
        <w:rPr>
          <w:rFonts w:eastAsia="Calibri"/>
        </w:rPr>
        <w:t>arrived</w:t>
      </w:r>
      <w:r w:rsidR="3D6DD3C7" w:rsidRPr="64F74C1E">
        <w:rPr>
          <w:rFonts w:eastAsia="Calibri"/>
        </w:rPr>
        <w:t xml:space="preserve"> at Oregon </w:t>
      </w:r>
      <w:r w:rsidR="34E0FA1E" w:rsidRPr="64F74C1E">
        <w:rPr>
          <w:rFonts w:eastAsia="Calibri"/>
        </w:rPr>
        <w:t xml:space="preserve">Tech. </w:t>
      </w:r>
      <w:r w:rsidR="003A0A29">
        <w:rPr>
          <w:rFonts w:eastAsia="Calibri"/>
        </w:rPr>
        <w:t>In retrospect, h</w:t>
      </w:r>
      <w:r w:rsidR="7078BAFC" w:rsidRPr="64F74C1E">
        <w:rPr>
          <w:rFonts w:eastAsia="Calibri"/>
        </w:rPr>
        <w:t xml:space="preserve">e did not realize </w:t>
      </w:r>
      <w:r w:rsidR="603B7BFC" w:rsidRPr="64F74C1E">
        <w:rPr>
          <w:rFonts w:eastAsia="Calibri"/>
        </w:rPr>
        <w:t xml:space="preserve">at the time </w:t>
      </w:r>
      <w:r w:rsidR="7078BAFC" w:rsidRPr="64F74C1E">
        <w:rPr>
          <w:rFonts w:eastAsia="Calibri"/>
        </w:rPr>
        <w:t xml:space="preserve">that </w:t>
      </w:r>
      <w:r w:rsidR="00AB3AC8">
        <w:rPr>
          <w:rFonts w:eastAsia="Calibri"/>
        </w:rPr>
        <w:t>it would have been helpful to</w:t>
      </w:r>
      <w:r w:rsidR="7078BAFC" w:rsidRPr="64F74C1E">
        <w:rPr>
          <w:rFonts w:eastAsia="Calibri"/>
        </w:rPr>
        <w:t xml:space="preserve"> present</w:t>
      </w:r>
      <w:r w:rsidR="00AB3AC8">
        <w:rPr>
          <w:rFonts w:eastAsia="Calibri"/>
        </w:rPr>
        <w:t xml:space="preserve"> </w:t>
      </w:r>
      <w:r w:rsidR="003A0A29">
        <w:rPr>
          <w:rFonts w:eastAsia="Calibri"/>
        </w:rPr>
        <w:t xml:space="preserve">the proposal </w:t>
      </w:r>
      <w:r w:rsidR="7078BAFC" w:rsidRPr="64F74C1E">
        <w:rPr>
          <w:rFonts w:eastAsia="Calibri"/>
        </w:rPr>
        <w:t>i</w:t>
      </w:r>
      <w:r w:rsidR="00CF2F6D">
        <w:rPr>
          <w:rFonts w:eastAsia="Calibri"/>
        </w:rPr>
        <w:t>n</w:t>
      </w:r>
      <w:r w:rsidR="7078BAFC" w:rsidRPr="64F74C1E">
        <w:rPr>
          <w:rFonts w:eastAsia="Calibri"/>
        </w:rPr>
        <w:t xml:space="preserve"> </w:t>
      </w:r>
      <w:r w:rsidR="00CF2F6D">
        <w:rPr>
          <w:rFonts w:eastAsia="Calibri"/>
        </w:rPr>
        <w:t>advance</w:t>
      </w:r>
      <w:r w:rsidR="7078BAFC" w:rsidRPr="64F74C1E">
        <w:rPr>
          <w:rFonts w:eastAsia="Calibri"/>
        </w:rPr>
        <w:t xml:space="preserve"> </w:t>
      </w:r>
      <w:r w:rsidR="003A0A29">
        <w:rPr>
          <w:rFonts w:eastAsia="Calibri"/>
        </w:rPr>
        <w:t xml:space="preserve">to </w:t>
      </w:r>
      <w:r w:rsidR="7078BAFC" w:rsidRPr="64F74C1E">
        <w:rPr>
          <w:rFonts w:eastAsia="Calibri"/>
        </w:rPr>
        <w:t>FOAC</w:t>
      </w:r>
      <w:r w:rsidR="5D364063" w:rsidRPr="64F74C1E">
        <w:rPr>
          <w:rFonts w:eastAsia="Calibri"/>
        </w:rPr>
        <w:t xml:space="preserve">. </w:t>
      </w:r>
      <w:r w:rsidR="7078BAFC" w:rsidRPr="64F74C1E">
        <w:rPr>
          <w:rFonts w:eastAsia="Calibri"/>
        </w:rPr>
        <w:t xml:space="preserve">The April Board meeting links on the website </w:t>
      </w:r>
      <w:r w:rsidR="003A0A29">
        <w:rPr>
          <w:rFonts w:eastAsia="Calibri"/>
        </w:rPr>
        <w:t>provide</w:t>
      </w:r>
      <w:r w:rsidR="00CF2F6D">
        <w:rPr>
          <w:rFonts w:eastAsia="Calibri"/>
        </w:rPr>
        <w:t xml:space="preserve"> a summary of</w:t>
      </w:r>
      <w:r w:rsidR="1D4A8EE3" w:rsidRPr="64F74C1E">
        <w:rPr>
          <w:rFonts w:eastAsia="Calibri"/>
        </w:rPr>
        <w:t xml:space="preserve"> </w:t>
      </w:r>
      <w:r w:rsidR="003A0A29">
        <w:rPr>
          <w:rFonts w:eastAsia="Calibri"/>
        </w:rPr>
        <w:t xml:space="preserve">project </w:t>
      </w:r>
      <w:r w:rsidR="1D4A8EE3" w:rsidRPr="64F74C1E">
        <w:rPr>
          <w:rFonts w:eastAsia="Calibri"/>
        </w:rPr>
        <w:t>concept</w:t>
      </w:r>
      <w:r w:rsidR="000A3408">
        <w:rPr>
          <w:rFonts w:eastAsia="Calibri"/>
        </w:rPr>
        <w:t xml:space="preserve"> and Board approval</w:t>
      </w:r>
      <w:r w:rsidR="503D632F" w:rsidRPr="64F74C1E">
        <w:rPr>
          <w:rFonts w:eastAsia="Calibri"/>
        </w:rPr>
        <w:t xml:space="preserve">. </w:t>
      </w:r>
      <w:r w:rsidR="6818F2B4" w:rsidRPr="64F74C1E">
        <w:rPr>
          <w:rFonts w:eastAsia="Calibri"/>
          <w:i/>
          <w:iCs/>
        </w:rPr>
        <w:t xml:space="preserve">Vice President </w:t>
      </w:r>
      <w:r w:rsidR="1D4A8EE3" w:rsidRPr="64F74C1E">
        <w:rPr>
          <w:rFonts w:eastAsia="Calibri"/>
          <w:i/>
          <w:iCs/>
        </w:rPr>
        <w:t>Harman</w:t>
      </w:r>
      <w:r w:rsidR="1D4A8EE3" w:rsidRPr="64F74C1E">
        <w:rPr>
          <w:rFonts w:eastAsia="Calibri"/>
        </w:rPr>
        <w:t xml:space="preserve"> will send that </w:t>
      </w:r>
      <w:r w:rsidR="000A3408">
        <w:rPr>
          <w:rFonts w:eastAsia="Calibri"/>
        </w:rPr>
        <w:t>link</w:t>
      </w:r>
      <w:r w:rsidR="1D4A8EE3" w:rsidRPr="64F74C1E">
        <w:rPr>
          <w:rFonts w:eastAsia="Calibri"/>
        </w:rPr>
        <w:t xml:space="preserve"> to the FOAC </w:t>
      </w:r>
      <w:r w:rsidR="004D72B6">
        <w:rPr>
          <w:rFonts w:eastAsia="Calibri"/>
        </w:rPr>
        <w:t>after the meeting.</w:t>
      </w:r>
      <w:r w:rsidR="5C388F90" w:rsidRPr="64F74C1E">
        <w:rPr>
          <w:rFonts w:eastAsia="Calibri"/>
        </w:rPr>
        <w:t xml:space="preserve"> </w:t>
      </w:r>
      <w:r w:rsidR="003A0A29">
        <w:rPr>
          <w:rFonts w:eastAsia="Calibri"/>
        </w:rPr>
        <w:t>The</w:t>
      </w:r>
      <w:r w:rsidR="1D4A8EE3" w:rsidRPr="64F74C1E">
        <w:rPr>
          <w:rFonts w:eastAsia="Calibri"/>
        </w:rPr>
        <w:t xml:space="preserve"> pro</w:t>
      </w:r>
      <w:r w:rsidR="004D72B6">
        <w:rPr>
          <w:rFonts w:eastAsia="Calibri"/>
        </w:rPr>
        <w:t xml:space="preserve">posed construction </w:t>
      </w:r>
      <w:r w:rsidR="1D4A8EE3" w:rsidRPr="64F74C1E">
        <w:rPr>
          <w:rFonts w:eastAsia="Calibri"/>
        </w:rPr>
        <w:t xml:space="preserve">cost </w:t>
      </w:r>
      <w:r w:rsidR="003A0A29">
        <w:rPr>
          <w:rFonts w:eastAsia="Calibri"/>
        </w:rPr>
        <w:t>is</w:t>
      </w:r>
      <w:r w:rsidR="1D4A8EE3" w:rsidRPr="64F74C1E">
        <w:rPr>
          <w:rFonts w:eastAsia="Calibri"/>
        </w:rPr>
        <w:t xml:space="preserve"> $4</w:t>
      </w:r>
      <w:r w:rsidR="003A0A29">
        <w:rPr>
          <w:rFonts w:eastAsia="Calibri"/>
        </w:rPr>
        <w:t>85</w:t>
      </w:r>
      <w:r w:rsidR="1D4A8EE3" w:rsidRPr="64F74C1E">
        <w:rPr>
          <w:rFonts w:eastAsia="Calibri"/>
        </w:rPr>
        <w:t xml:space="preserve"> per square foot</w:t>
      </w:r>
      <w:r w:rsidR="003A0A29">
        <w:rPr>
          <w:rFonts w:eastAsia="Calibri"/>
        </w:rPr>
        <w:t xml:space="preserve">. Given the recent </w:t>
      </w:r>
      <w:r w:rsidR="008F6675">
        <w:rPr>
          <w:rFonts w:eastAsia="Calibri"/>
        </w:rPr>
        <w:t>25-30% escalation</w:t>
      </w:r>
      <w:r w:rsidR="003A0A29">
        <w:rPr>
          <w:rFonts w:eastAsia="Calibri"/>
        </w:rPr>
        <w:t xml:space="preserve"> of construction costs</w:t>
      </w:r>
      <w:r w:rsidR="008F6675">
        <w:rPr>
          <w:rFonts w:eastAsia="Calibri"/>
        </w:rPr>
        <w:t>,</w:t>
      </w:r>
      <w:r w:rsidR="003A0A29">
        <w:rPr>
          <w:rFonts w:eastAsia="Calibri"/>
        </w:rPr>
        <w:t xml:space="preserve"> the shortfall in</w:t>
      </w:r>
      <w:r w:rsidR="008F6675">
        <w:rPr>
          <w:rFonts w:eastAsia="Calibri"/>
        </w:rPr>
        <w:t xml:space="preserve"> student</w:t>
      </w:r>
      <w:r w:rsidR="003A0A29">
        <w:rPr>
          <w:rFonts w:eastAsia="Calibri"/>
        </w:rPr>
        <w:t xml:space="preserve"> </w:t>
      </w:r>
      <w:r w:rsidR="008F6675">
        <w:rPr>
          <w:rFonts w:eastAsia="Calibri"/>
        </w:rPr>
        <w:t>enrollment compared to prior years and the funding reduction from the state,</w:t>
      </w:r>
      <w:r w:rsidR="1D4A8EE3" w:rsidRPr="64F74C1E">
        <w:rPr>
          <w:rFonts w:eastAsia="Calibri"/>
        </w:rPr>
        <w:t xml:space="preserve"> </w:t>
      </w:r>
      <w:r w:rsidR="003A0A29">
        <w:rPr>
          <w:rFonts w:eastAsia="Calibri"/>
        </w:rPr>
        <w:t xml:space="preserve">it will be important to take these changing </w:t>
      </w:r>
      <w:r w:rsidR="008F6675">
        <w:rPr>
          <w:rFonts w:eastAsia="Calibri"/>
        </w:rPr>
        <w:t xml:space="preserve">variables into consideration when moving forward with the project. </w:t>
      </w:r>
    </w:p>
    <w:p w14:paraId="07E9A7F9" w14:textId="503D1752" w:rsidR="2049130F" w:rsidRDefault="2049130F" w:rsidP="2049130F">
      <w:pPr>
        <w:rPr>
          <w:rFonts w:eastAsia="Calibri"/>
        </w:rPr>
      </w:pPr>
    </w:p>
    <w:p w14:paraId="707E0B8E" w14:textId="4C1CB949" w:rsidR="5ACD1E00" w:rsidRDefault="00CA1EEE" w:rsidP="2049130F">
      <w:pPr>
        <w:rPr>
          <w:rFonts w:eastAsia="Calibri"/>
        </w:rPr>
      </w:pPr>
      <w:r>
        <w:rPr>
          <w:rFonts w:eastAsia="Calibri"/>
        </w:rPr>
        <w:t xml:space="preserve">The </w:t>
      </w:r>
      <w:r w:rsidR="61D4AA77" w:rsidRPr="64F74C1E">
        <w:rPr>
          <w:rFonts w:eastAsia="Calibri"/>
        </w:rPr>
        <w:t xml:space="preserve">CEET </w:t>
      </w:r>
      <w:r w:rsidR="309E74FA" w:rsidRPr="64F74C1E">
        <w:rPr>
          <w:rFonts w:eastAsia="Calibri"/>
        </w:rPr>
        <w:t>Building</w:t>
      </w:r>
      <w:r w:rsidR="61D4AA77" w:rsidRPr="64F74C1E">
        <w:rPr>
          <w:rFonts w:eastAsia="Calibri"/>
        </w:rPr>
        <w:t xml:space="preserve"> </w:t>
      </w:r>
      <w:r w:rsidR="008F6675">
        <w:rPr>
          <w:rFonts w:eastAsia="Calibri"/>
        </w:rPr>
        <w:t xml:space="preserve">will be ready for </w:t>
      </w:r>
      <w:r w:rsidR="61D4AA77" w:rsidRPr="64F74C1E">
        <w:rPr>
          <w:rFonts w:eastAsia="Calibri"/>
        </w:rPr>
        <w:t>move</w:t>
      </w:r>
      <w:r w:rsidR="008F6675">
        <w:rPr>
          <w:rFonts w:eastAsia="Calibri"/>
        </w:rPr>
        <w:t>-</w:t>
      </w:r>
      <w:r w:rsidR="61D4AA77" w:rsidRPr="64F74C1E">
        <w:rPr>
          <w:rFonts w:eastAsia="Calibri"/>
        </w:rPr>
        <w:t xml:space="preserve">in on </w:t>
      </w:r>
      <w:r w:rsidR="008F6675">
        <w:rPr>
          <w:rFonts w:eastAsia="Calibri"/>
        </w:rPr>
        <w:t>December 17th</w:t>
      </w:r>
      <w:r w:rsidR="61D4AA77" w:rsidRPr="64F74C1E">
        <w:rPr>
          <w:rFonts w:eastAsia="Calibri"/>
        </w:rPr>
        <w:t xml:space="preserve"> with the </w:t>
      </w:r>
      <w:r w:rsidR="008F6675">
        <w:rPr>
          <w:rFonts w:eastAsia="Calibri"/>
        </w:rPr>
        <w:t xml:space="preserve">additional </w:t>
      </w:r>
      <w:r w:rsidR="61D4AA77" w:rsidRPr="64F74C1E">
        <w:rPr>
          <w:rFonts w:eastAsia="Calibri"/>
        </w:rPr>
        <w:t xml:space="preserve">details to be completed by </w:t>
      </w:r>
      <w:r w:rsidR="008F6675">
        <w:rPr>
          <w:rFonts w:eastAsia="Calibri"/>
        </w:rPr>
        <w:t xml:space="preserve">the end of </w:t>
      </w:r>
      <w:r w:rsidR="61D4AA77" w:rsidRPr="64F74C1E">
        <w:rPr>
          <w:rFonts w:eastAsia="Calibri"/>
        </w:rPr>
        <w:t>December</w:t>
      </w:r>
      <w:r w:rsidR="008F6675">
        <w:rPr>
          <w:rFonts w:eastAsia="Calibri"/>
        </w:rPr>
        <w:t>.</w:t>
      </w:r>
    </w:p>
    <w:p w14:paraId="47EF3B1E" w14:textId="57949591" w:rsidR="2049130F" w:rsidRDefault="2049130F" w:rsidP="2049130F">
      <w:pPr>
        <w:rPr>
          <w:rFonts w:eastAsia="Calibri"/>
        </w:rPr>
      </w:pPr>
    </w:p>
    <w:p w14:paraId="2C2034B6" w14:textId="2C42D462" w:rsidR="4994B9E4" w:rsidRDefault="54FE952D" w:rsidP="2049130F">
      <w:pPr>
        <w:rPr>
          <w:rFonts w:eastAsia="Calibri"/>
        </w:rPr>
      </w:pPr>
      <w:r w:rsidRPr="64F74C1E">
        <w:rPr>
          <w:rFonts w:eastAsia="Calibri"/>
        </w:rPr>
        <w:t xml:space="preserve">Track </w:t>
      </w:r>
      <w:r w:rsidR="008F6675">
        <w:rPr>
          <w:rFonts w:eastAsia="Calibri"/>
        </w:rPr>
        <w:t xml:space="preserve">and Stadium </w:t>
      </w:r>
      <w:r w:rsidRPr="64F74C1E">
        <w:rPr>
          <w:rFonts w:eastAsia="Calibri"/>
        </w:rPr>
        <w:t xml:space="preserve">Renovation- </w:t>
      </w:r>
      <w:r w:rsidR="008F6675">
        <w:rPr>
          <w:rFonts w:eastAsia="Calibri"/>
        </w:rPr>
        <w:t>T</w:t>
      </w:r>
      <w:r w:rsidRPr="64F74C1E">
        <w:rPr>
          <w:rFonts w:eastAsia="Calibri"/>
        </w:rPr>
        <w:t xml:space="preserve">he track </w:t>
      </w:r>
      <w:r w:rsidR="008F6675">
        <w:rPr>
          <w:rFonts w:eastAsia="Calibri"/>
        </w:rPr>
        <w:t xml:space="preserve">portion is </w:t>
      </w:r>
      <w:r w:rsidRPr="64F74C1E">
        <w:rPr>
          <w:rFonts w:eastAsia="Calibri"/>
        </w:rPr>
        <w:t>complete</w:t>
      </w:r>
      <w:r w:rsidR="7CC841E6" w:rsidRPr="64F74C1E">
        <w:rPr>
          <w:rFonts w:eastAsia="Calibri"/>
        </w:rPr>
        <w:t xml:space="preserve">. </w:t>
      </w:r>
      <w:r w:rsidRPr="64F74C1E">
        <w:rPr>
          <w:rFonts w:eastAsia="Calibri"/>
          <w:i/>
          <w:iCs/>
        </w:rPr>
        <w:t>Dibyajyoti Deb</w:t>
      </w:r>
      <w:r w:rsidRPr="64F74C1E">
        <w:rPr>
          <w:rFonts w:eastAsia="Calibri"/>
        </w:rPr>
        <w:t xml:space="preserve"> commented on the shortfall of funding for the </w:t>
      </w:r>
      <w:r w:rsidR="008F6675">
        <w:rPr>
          <w:rFonts w:eastAsia="Calibri"/>
        </w:rPr>
        <w:t>stadium</w:t>
      </w:r>
      <w:r w:rsidRPr="64F74C1E">
        <w:rPr>
          <w:rFonts w:eastAsia="Calibri"/>
        </w:rPr>
        <w:t xml:space="preserve">. </w:t>
      </w:r>
      <w:r w:rsidR="5F0B8232" w:rsidRPr="64F74C1E">
        <w:rPr>
          <w:rFonts w:eastAsia="Calibri"/>
          <w:i/>
          <w:iCs/>
        </w:rPr>
        <w:t xml:space="preserve">Facilities Director </w:t>
      </w:r>
      <w:r w:rsidRPr="64F74C1E">
        <w:rPr>
          <w:rFonts w:eastAsia="Calibri"/>
          <w:i/>
          <w:iCs/>
        </w:rPr>
        <w:t>Thom Darrah</w:t>
      </w:r>
      <w:r w:rsidRPr="64F74C1E">
        <w:rPr>
          <w:rFonts w:eastAsia="Calibri"/>
        </w:rPr>
        <w:t xml:space="preserve"> said there are 3 sources of funding</w:t>
      </w:r>
      <w:r w:rsidR="5D9E5F6A" w:rsidRPr="64F74C1E">
        <w:rPr>
          <w:rFonts w:eastAsia="Calibri"/>
        </w:rPr>
        <w:t xml:space="preserve">. </w:t>
      </w:r>
      <w:r w:rsidR="4A79CD76" w:rsidRPr="64F74C1E">
        <w:rPr>
          <w:rFonts w:eastAsia="Calibri"/>
        </w:rPr>
        <w:t>The project to date has $700,000 remaining</w:t>
      </w:r>
      <w:r w:rsidR="0F7C53C4" w:rsidRPr="64F74C1E">
        <w:rPr>
          <w:rFonts w:eastAsia="Calibri"/>
        </w:rPr>
        <w:t xml:space="preserve">. </w:t>
      </w:r>
      <w:r w:rsidR="4A79CD76" w:rsidRPr="64F74C1E">
        <w:rPr>
          <w:rFonts w:eastAsia="Calibri"/>
        </w:rPr>
        <w:t xml:space="preserve">The </w:t>
      </w:r>
      <w:r w:rsidR="63C33DEA" w:rsidRPr="64F74C1E">
        <w:rPr>
          <w:rFonts w:eastAsia="Calibri"/>
        </w:rPr>
        <w:t>stadium</w:t>
      </w:r>
      <w:r w:rsidR="4A79CD76" w:rsidRPr="64F74C1E">
        <w:rPr>
          <w:rFonts w:eastAsia="Calibri"/>
        </w:rPr>
        <w:t xml:space="preserve"> project has been out for bi</w:t>
      </w:r>
      <w:r w:rsidR="002E7110">
        <w:rPr>
          <w:rFonts w:eastAsia="Calibri"/>
        </w:rPr>
        <w:t>d</w:t>
      </w:r>
      <w:r w:rsidR="4A79CD76" w:rsidRPr="64F74C1E">
        <w:rPr>
          <w:rFonts w:eastAsia="Calibri"/>
        </w:rPr>
        <w:t xml:space="preserve"> twice</w:t>
      </w:r>
      <w:r w:rsidR="008F6675">
        <w:rPr>
          <w:rFonts w:eastAsia="Calibri"/>
        </w:rPr>
        <w:t xml:space="preserve"> to receive the best pricing. There is still </w:t>
      </w:r>
      <w:r w:rsidR="4A79CD76" w:rsidRPr="64F74C1E">
        <w:rPr>
          <w:rFonts w:eastAsia="Calibri"/>
        </w:rPr>
        <w:t>a $1,000,000 shortfall</w:t>
      </w:r>
      <w:r w:rsidR="008F6675">
        <w:rPr>
          <w:rFonts w:eastAsia="Calibri"/>
        </w:rPr>
        <w:t xml:space="preserve"> in funding due to escalating construction costs. </w:t>
      </w:r>
      <w:r w:rsidR="4A79CD76" w:rsidRPr="64F74C1E">
        <w:rPr>
          <w:rFonts w:eastAsia="Calibri"/>
        </w:rPr>
        <w:t xml:space="preserve">This is becoming a common experience on </w:t>
      </w:r>
      <w:r w:rsidR="4F616E6A" w:rsidRPr="64F74C1E">
        <w:rPr>
          <w:rFonts w:eastAsia="Calibri"/>
        </w:rPr>
        <w:t>other projects as well</w:t>
      </w:r>
      <w:r w:rsidR="25C930AC" w:rsidRPr="64F74C1E">
        <w:rPr>
          <w:rFonts w:eastAsia="Calibri"/>
        </w:rPr>
        <w:t xml:space="preserve">. </w:t>
      </w:r>
      <w:r w:rsidR="4F616E6A" w:rsidRPr="64F74C1E">
        <w:rPr>
          <w:rFonts w:eastAsia="Calibri"/>
        </w:rPr>
        <w:t xml:space="preserve">Oregon Tech will be addressing the </w:t>
      </w:r>
      <w:r w:rsidR="2DF789D2" w:rsidRPr="64F74C1E">
        <w:rPr>
          <w:rFonts w:eastAsia="Calibri"/>
        </w:rPr>
        <w:t>escalating</w:t>
      </w:r>
      <w:r w:rsidR="4F616E6A" w:rsidRPr="64F74C1E">
        <w:rPr>
          <w:rFonts w:eastAsia="Calibri"/>
        </w:rPr>
        <w:t xml:space="preserve"> construction costs with HECC.</w:t>
      </w:r>
    </w:p>
    <w:p w14:paraId="0D4B7327" w14:textId="1F7138CD" w:rsidR="2049130F" w:rsidRDefault="2049130F" w:rsidP="2049130F">
      <w:pPr>
        <w:rPr>
          <w:rFonts w:eastAsia="Calibri"/>
        </w:rPr>
      </w:pPr>
    </w:p>
    <w:p w14:paraId="7E98CABB" w14:textId="14C5BE24" w:rsidR="0C6701A1" w:rsidRDefault="4F616E6A" w:rsidP="2049130F">
      <w:pPr>
        <w:rPr>
          <w:rFonts w:eastAsia="Calibri"/>
        </w:rPr>
      </w:pPr>
      <w:r w:rsidRPr="64F74C1E">
        <w:rPr>
          <w:rFonts w:eastAsia="Calibri"/>
          <w:i/>
          <w:iCs/>
        </w:rPr>
        <w:t>Dibyajyoti Deb</w:t>
      </w:r>
      <w:r w:rsidRPr="64F74C1E">
        <w:rPr>
          <w:rFonts w:eastAsia="Calibri"/>
        </w:rPr>
        <w:t xml:space="preserve"> asked if the increased construction costs have been </w:t>
      </w:r>
      <w:r w:rsidR="3CF0D203" w:rsidRPr="64F74C1E">
        <w:rPr>
          <w:rFonts w:eastAsia="Calibri"/>
        </w:rPr>
        <w:t>considered</w:t>
      </w:r>
      <w:r w:rsidRPr="64F74C1E">
        <w:rPr>
          <w:rFonts w:eastAsia="Calibri"/>
        </w:rPr>
        <w:t xml:space="preserve"> for the Bo</w:t>
      </w:r>
      <w:r w:rsidR="005E139A">
        <w:rPr>
          <w:rFonts w:eastAsia="Calibri"/>
        </w:rPr>
        <w:t>i</w:t>
      </w:r>
      <w:r w:rsidRPr="64F74C1E">
        <w:rPr>
          <w:rFonts w:eastAsia="Calibri"/>
        </w:rPr>
        <w:t>vin project</w:t>
      </w:r>
      <w:r w:rsidR="51FF34BB" w:rsidRPr="64F74C1E">
        <w:rPr>
          <w:rFonts w:eastAsia="Calibri"/>
        </w:rPr>
        <w:t xml:space="preserve">. </w:t>
      </w:r>
      <w:r w:rsidR="51FF34BB" w:rsidRPr="64F74C1E">
        <w:rPr>
          <w:rFonts w:eastAsia="Calibri"/>
          <w:i/>
          <w:iCs/>
        </w:rPr>
        <w:t>Facilities</w:t>
      </w:r>
      <w:r w:rsidR="51FF34BB" w:rsidRPr="64F74C1E">
        <w:rPr>
          <w:rFonts w:eastAsia="Calibri"/>
        </w:rPr>
        <w:t xml:space="preserve"> </w:t>
      </w:r>
      <w:r w:rsidR="51FF34BB" w:rsidRPr="64F74C1E">
        <w:rPr>
          <w:rFonts w:eastAsia="Calibri"/>
          <w:i/>
          <w:iCs/>
        </w:rPr>
        <w:t xml:space="preserve">Director </w:t>
      </w:r>
      <w:r w:rsidRPr="64F74C1E">
        <w:rPr>
          <w:rFonts w:eastAsia="Calibri"/>
          <w:i/>
          <w:iCs/>
        </w:rPr>
        <w:t>Thom Darrah</w:t>
      </w:r>
      <w:r w:rsidRPr="64F74C1E">
        <w:rPr>
          <w:rFonts w:eastAsia="Calibri"/>
        </w:rPr>
        <w:t xml:space="preserve"> said that they are </w:t>
      </w:r>
      <w:r w:rsidR="4F9229F3" w:rsidRPr="64F74C1E">
        <w:rPr>
          <w:rFonts w:eastAsia="Calibri"/>
        </w:rPr>
        <w:t>discussing this</w:t>
      </w:r>
      <w:r w:rsidRPr="64F74C1E">
        <w:rPr>
          <w:rFonts w:eastAsia="Calibri"/>
        </w:rPr>
        <w:t xml:space="preserve"> with HECC for Bo</w:t>
      </w:r>
      <w:r w:rsidR="00A8482C">
        <w:rPr>
          <w:rFonts w:eastAsia="Calibri"/>
        </w:rPr>
        <w:t>i</w:t>
      </w:r>
      <w:r w:rsidRPr="64F74C1E">
        <w:rPr>
          <w:rFonts w:eastAsia="Calibri"/>
        </w:rPr>
        <w:t>vin, OMIC,</w:t>
      </w:r>
      <w:r w:rsidR="3F913804" w:rsidRPr="64F74C1E">
        <w:rPr>
          <w:rFonts w:eastAsia="Calibri"/>
        </w:rPr>
        <w:t xml:space="preserve"> and other ongoing </w:t>
      </w:r>
      <w:r w:rsidR="0DC1161D" w:rsidRPr="64F74C1E">
        <w:rPr>
          <w:rFonts w:eastAsia="Calibri"/>
        </w:rPr>
        <w:t>capital</w:t>
      </w:r>
      <w:r w:rsidR="3F913804" w:rsidRPr="64F74C1E">
        <w:rPr>
          <w:rFonts w:eastAsia="Calibri"/>
        </w:rPr>
        <w:t xml:space="preserve"> projects.</w:t>
      </w:r>
    </w:p>
    <w:p w14:paraId="10B1306A" w14:textId="00C5697C" w:rsidR="2049130F" w:rsidRDefault="2049130F" w:rsidP="2049130F">
      <w:pPr>
        <w:rPr>
          <w:rFonts w:eastAsia="Calibri"/>
        </w:rPr>
      </w:pPr>
    </w:p>
    <w:p w14:paraId="585DE96F" w14:textId="10264EB7" w:rsidR="17AEC861" w:rsidRDefault="00B6677B" w:rsidP="2049130F">
      <w:pPr>
        <w:rPr>
          <w:rFonts w:eastAsia="Calibri"/>
        </w:rPr>
      </w:pPr>
      <w:r>
        <w:rPr>
          <w:rFonts w:eastAsia="Calibri"/>
        </w:rPr>
        <w:t xml:space="preserve">The </w:t>
      </w:r>
      <w:r w:rsidR="3F913804" w:rsidRPr="64F74C1E">
        <w:rPr>
          <w:rFonts w:eastAsia="Calibri"/>
        </w:rPr>
        <w:t>Residence Hall new construction is expected to start in the fall of 2023</w:t>
      </w:r>
      <w:r w:rsidR="20448389" w:rsidRPr="64F74C1E">
        <w:rPr>
          <w:rFonts w:eastAsia="Calibri"/>
        </w:rPr>
        <w:t xml:space="preserve">. </w:t>
      </w:r>
      <w:r w:rsidR="3F913804" w:rsidRPr="64F74C1E">
        <w:rPr>
          <w:rFonts w:eastAsia="Calibri"/>
        </w:rPr>
        <w:t>Joanna Mott said</w:t>
      </w:r>
      <w:r w:rsidR="002B23D1">
        <w:rPr>
          <w:rFonts w:eastAsia="Calibri"/>
        </w:rPr>
        <w:t xml:space="preserve"> enrollment headcount is</w:t>
      </w:r>
      <w:r w:rsidR="3F913804" w:rsidRPr="64F74C1E">
        <w:rPr>
          <w:rFonts w:eastAsia="Calibri"/>
        </w:rPr>
        <w:t xml:space="preserve"> down </w:t>
      </w:r>
      <w:r w:rsidR="002B23D1">
        <w:rPr>
          <w:rFonts w:eastAsia="Calibri"/>
        </w:rPr>
        <w:t>7</w:t>
      </w:r>
      <w:r w:rsidR="3F913804" w:rsidRPr="64F74C1E">
        <w:rPr>
          <w:rFonts w:eastAsia="Calibri"/>
        </w:rPr>
        <w:t xml:space="preserve">.8% </w:t>
      </w:r>
      <w:r w:rsidR="002B23D1">
        <w:rPr>
          <w:rFonts w:eastAsia="Calibri"/>
        </w:rPr>
        <w:t xml:space="preserve">(9.8% </w:t>
      </w:r>
      <w:r w:rsidR="3F913804" w:rsidRPr="64F74C1E">
        <w:rPr>
          <w:rFonts w:eastAsia="Calibri"/>
        </w:rPr>
        <w:t>without dual enrollment students</w:t>
      </w:r>
      <w:r w:rsidR="000976DC">
        <w:rPr>
          <w:rFonts w:eastAsia="Calibri"/>
        </w:rPr>
        <w:t>)</w:t>
      </w:r>
      <w:r w:rsidR="5734491B" w:rsidRPr="64F74C1E">
        <w:rPr>
          <w:rFonts w:eastAsia="Calibri"/>
        </w:rPr>
        <w:t xml:space="preserve">. </w:t>
      </w:r>
      <w:r w:rsidR="6E62D5F8" w:rsidRPr="64F74C1E">
        <w:rPr>
          <w:rFonts w:eastAsia="Calibri"/>
        </w:rPr>
        <w:t xml:space="preserve">Freshman enrollment is down a little but </w:t>
      </w:r>
      <w:r w:rsidR="6E62D5F8" w:rsidRPr="64F74C1E">
        <w:rPr>
          <w:rFonts w:eastAsia="Calibri"/>
        </w:rPr>
        <w:lastRenderedPageBreak/>
        <w:t xml:space="preserve">there was a record </w:t>
      </w:r>
      <w:r w:rsidR="534CE596" w:rsidRPr="64F74C1E">
        <w:rPr>
          <w:rFonts w:eastAsia="Calibri"/>
        </w:rPr>
        <w:t>number</w:t>
      </w:r>
      <w:r w:rsidR="6E62D5F8" w:rsidRPr="64F74C1E">
        <w:rPr>
          <w:rFonts w:eastAsia="Calibri"/>
        </w:rPr>
        <w:t xml:space="preserve"> of </w:t>
      </w:r>
      <w:r w:rsidR="24527096" w:rsidRPr="64F74C1E">
        <w:rPr>
          <w:rFonts w:eastAsia="Calibri"/>
        </w:rPr>
        <w:t>applications</w:t>
      </w:r>
      <w:r w:rsidR="6E62D5F8" w:rsidRPr="64F74C1E">
        <w:rPr>
          <w:rFonts w:eastAsia="Calibri"/>
        </w:rPr>
        <w:t xml:space="preserve"> and a</w:t>
      </w:r>
      <w:r w:rsidR="002B3B41">
        <w:rPr>
          <w:rFonts w:eastAsia="Calibri"/>
        </w:rPr>
        <w:t>dmissions</w:t>
      </w:r>
      <w:r w:rsidR="6BF2C52B" w:rsidRPr="64F74C1E">
        <w:rPr>
          <w:rFonts w:eastAsia="Calibri"/>
        </w:rPr>
        <w:t xml:space="preserve">. </w:t>
      </w:r>
      <w:r w:rsidR="5DA2B9A9" w:rsidRPr="64F74C1E">
        <w:rPr>
          <w:rFonts w:eastAsia="Calibri"/>
        </w:rPr>
        <w:t>In August, the numbers went down</w:t>
      </w:r>
      <w:r w:rsidR="60CA8E0F" w:rsidRPr="64F74C1E">
        <w:rPr>
          <w:rFonts w:eastAsia="Calibri"/>
        </w:rPr>
        <w:t xml:space="preserve">. </w:t>
      </w:r>
      <w:r w:rsidR="5DA2B9A9" w:rsidRPr="64F74C1E">
        <w:rPr>
          <w:rFonts w:eastAsia="Calibri"/>
        </w:rPr>
        <w:t xml:space="preserve">In looking at </w:t>
      </w:r>
      <w:r w:rsidR="4421925C" w:rsidRPr="64F74C1E">
        <w:rPr>
          <w:rFonts w:eastAsia="Calibri"/>
        </w:rPr>
        <w:t>Clearinghouse</w:t>
      </w:r>
      <w:r w:rsidR="5DA2B9A9" w:rsidRPr="64F74C1E">
        <w:rPr>
          <w:rFonts w:eastAsia="Calibri"/>
        </w:rPr>
        <w:t xml:space="preserve"> data, </w:t>
      </w:r>
      <w:r w:rsidR="002B3B41">
        <w:rPr>
          <w:rFonts w:eastAsia="Calibri"/>
        </w:rPr>
        <w:t>a</w:t>
      </w:r>
      <w:r w:rsidR="000976DC">
        <w:rPr>
          <w:rFonts w:eastAsia="Calibri"/>
        </w:rPr>
        <w:t>fter August 1</w:t>
      </w:r>
      <w:r w:rsidR="002B3B41">
        <w:rPr>
          <w:rFonts w:eastAsia="Calibri"/>
        </w:rPr>
        <w:t>st</w:t>
      </w:r>
      <w:r w:rsidR="000976DC">
        <w:rPr>
          <w:rFonts w:eastAsia="Calibri"/>
        </w:rPr>
        <w:t xml:space="preserve">, </w:t>
      </w:r>
      <w:r w:rsidR="002B3B41">
        <w:rPr>
          <w:rFonts w:eastAsia="Calibri"/>
        </w:rPr>
        <w:t>sixty-five (</w:t>
      </w:r>
      <w:r w:rsidR="5DA2B9A9" w:rsidRPr="64F74C1E">
        <w:rPr>
          <w:rFonts w:eastAsia="Calibri"/>
        </w:rPr>
        <w:t>65</w:t>
      </w:r>
      <w:r w:rsidR="002B3B41">
        <w:rPr>
          <w:rFonts w:eastAsia="Calibri"/>
        </w:rPr>
        <w:t>)</w:t>
      </w:r>
      <w:r w:rsidR="5DA2B9A9" w:rsidRPr="64F74C1E">
        <w:rPr>
          <w:rFonts w:eastAsia="Calibri"/>
        </w:rPr>
        <w:t xml:space="preserve"> </w:t>
      </w:r>
      <w:r w:rsidR="7B3FC6BE" w:rsidRPr="64F74C1E">
        <w:rPr>
          <w:rFonts w:eastAsia="Calibri"/>
        </w:rPr>
        <w:t>students</w:t>
      </w:r>
      <w:r w:rsidR="5DA2B9A9" w:rsidRPr="64F74C1E">
        <w:rPr>
          <w:rFonts w:eastAsia="Calibri"/>
        </w:rPr>
        <w:t xml:space="preserve"> </w:t>
      </w:r>
      <w:r w:rsidR="0ACAE557" w:rsidRPr="64F74C1E">
        <w:rPr>
          <w:rFonts w:eastAsia="Calibri"/>
        </w:rPr>
        <w:t>did not</w:t>
      </w:r>
      <w:r w:rsidR="002B3B41">
        <w:rPr>
          <w:rFonts w:eastAsia="Calibri"/>
        </w:rPr>
        <w:t xml:space="preserve"> follow through with enrollment</w:t>
      </w:r>
      <w:r w:rsidR="5DA2B9A9" w:rsidRPr="64F74C1E">
        <w:rPr>
          <w:rFonts w:eastAsia="Calibri"/>
        </w:rPr>
        <w:t xml:space="preserve"> or</w:t>
      </w:r>
      <w:r w:rsidR="002B3B41">
        <w:rPr>
          <w:rFonts w:eastAsia="Calibri"/>
        </w:rPr>
        <w:t xml:space="preserve"> opted to attend </w:t>
      </w:r>
      <w:r w:rsidR="5DA2B9A9" w:rsidRPr="64F74C1E">
        <w:rPr>
          <w:rFonts w:eastAsia="Calibri"/>
        </w:rPr>
        <w:t>a community college</w:t>
      </w:r>
      <w:r w:rsidR="0D773B48" w:rsidRPr="64F74C1E">
        <w:rPr>
          <w:rFonts w:eastAsia="Calibri"/>
        </w:rPr>
        <w:t xml:space="preserve">. </w:t>
      </w:r>
      <w:r w:rsidR="492B938F" w:rsidRPr="64F74C1E">
        <w:rPr>
          <w:rFonts w:eastAsia="Calibri"/>
        </w:rPr>
        <w:t>There may be an increase in transfer students</w:t>
      </w:r>
      <w:r w:rsidR="10DF49A3" w:rsidRPr="64F74C1E">
        <w:rPr>
          <w:rFonts w:eastAsia="Calibri"/>
        </w:rPr>
        <w:t xml:space="preserve"> in the future</w:t>
      </w:r>
      <w:r w:rsidR="5DA2B9A9" w:rsidRPr="64F74C1E">
        <w:rPr>
          <w:rFonts w:eastAsia="Calibri"/>
        </w:rPr>
        <w:t>.</w:t>
      </w:r>
      <w:r w:rsidR="65E36CAC" w:rsidRPr="64F74C1E">
        <w:rPr>
          <w:rFonts w:eastAsia="Calibri"/>
        </w:rPr>
        <w:t xml:space="preserve"> This will have an impact on the budget.</w:t>
      </w:r>
      <w:r w:rsidR="4F616E6A" w:rsidRPr="64F74C1E">
        <w:rPr>
          <w:rFonts w:eastAsia="Calibri"/>
        </w:rPr>
        <w:t xml:space="preserve"> </w:t>
      </w:r>
    </w:p>
    <w:p w14:paraId="3D416857" w14:textId="534C5BF9" w:rsidR="2049130F" w:rsidRDefault="2049130F" w:rsidP="2049130F">
      <w:pPr>
        <w:rPr>
          <w:rFonts w:eastAsia="Calibri"/>
        </w:rPr>
      </w:pPr>
    </w:p>
    <w:p w14:paraId="78F84749" w14:textId="2BD8FF88" w:rsidR="09E1DA5F" w:rsidRDefault="09E1DA5F" w:rsidP="2049130F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i/>
          <w:iCs/>
        </w:rPr>
      </w:pPr>
      <w:r w:rsidRPr="2049130F">
        <w:rPr>
          <w:rFonts w:ascii="Calibri" w:eastAsia="Calibri" w:hAnsi="Calibri" w:cs="Calibri"/>
          <w:i/>
          <w:iCs/>
        </w:rPr>
        <w:t>Campus Facilities Master Plan- Thom Darrah</w:t>
      </w:r>
    </w:p>
    <w:p w14:paraId="577DA566" w14:textId="5C6A4BD5" w:rsidR="2049130F" w:rsidRDefault="2049130F" w:rsidP="2049130F">
      <w:pPr>
        <w:rPr>
          <w:rFonts w:eastAsia="Calibri"/>
          <w:i/>
          <w:iCs/>
        </w:rPr>
      </w:pPr>
    </w:p>
    <w:p w14:paraId="434D3AA4" w14:textId="4E61BE76" w:rsidR="09E1DA5F" w:rsidRDefault="09E1DA5F" w:rsidP="2049130F">
      <w:pPr>
        <w:rPr>
          <w:rFonts w:eastAsia="Calibri"/>
          <w:i/>
          <w:iCs/>
        </w:rPr>
      </w:pPr>
      <w:r w:rsidRPr="2049130F">
        <w:rPr>
          <w:rFonts w:eastAsia="Calibri"/>
          <w:i/>
          <w:iCs/>
        </w:rPr>
        <w:t>See Capital Projects Update</w:t>
      </w:r>
    </w:p>
    <w:p w14:paraId="027D0B61" w14:textId="753AA19D" w:rsidR="2049130F" w:rsidRDefault="2049130F" w:rsidP="2049130F">
      <w:pPr>
        <w:rPr>
          <w:rFonts w:eastAsia="Calibri"/>
        </w:rPr>
      </w:pPr>
    </w:p>
    <w:p w14:paraId="68B86D87" w14:textId="3D819FD6" w:rsidR="00BA3920" w:rsidRPr="00C27820" w:rsidRDefault="00805FBC" w:rsidP="00805FBC">
      <w:pPr>
        <w:pStyle w:val="NoSpacing"/>
      </w:pPr>
      <w:r w:rsidRPr="005356D5">
        <w:rPr>
          <w:b/>
          <w:bCs/>
        </w:rPr>
        <w:t>M</w:t>
      </w:r>
      <w:r w:rsidR="004545B0" w:rsidRPr="005356D5">
        <w:rPr>
          <w:b/>
          <w:bCs/>
        </w:rPr>
        <w:t>eeting adjourned</w:t>
      </w:r>
      <w:r w:rsidR="00BA3920" w:rsidRPr="00C27820">
        <w:t xml:space="preserve"> – </w:t>
      </w:r>
      <w:r w:rsidR="00C27820">
        <w:rPr>
          <w:i/>
        </w:rPr>
        <w:t xml:space="preserve">Chair </w:t>
      </w:r>
      <w:r w:rsidR="008413E6">
        <w:rPr>
          <w:i/>
        </w:rPr>
        <w:t>DaSaro</w:t>
      </w:r>
    </w:p>
    <w:p w14:paraId="3C56B3A6" w14:textId="4D4123BD" w:rsidR="004545B0" w:rsidRDefault="004545B0" w:rsidP="2049130F">
      <w:pPr>
        <w:pStyle w:val="NoSpacing"/>
        <w:ind w:left="720"/>
        <w:rPr>
          <w:b/>
          <w:bCs/>
        </w:rPr>
      </w:pPr>
    </w:p>
    <w:p w14:paraId="6406FA41" w14:textId="170B6799" w:rsidR="6ECBD063" w:rsidRDefault="5CC6EF07" w:rsidP="2049130F">
      <w:pPr>
        <w:pStyle w:val="NoSpacing"/>
        <w:ind w:left="720"/>
        <w:rPr>
          <w:b/>
          <w:bCs/>
        </w:rPr>
      </w:pPr>
      <w:r w:rsidRPr="64F74C1E">
        <w:rPr>
          <w:b/>
          <w:bCs/>
        </w:rPr>
        <w:t>The meeting</w:t>
      </w:r>
      <w:r w:rsidR="413C1010" w:rsidRPr="64F74C1E">
        <w:rPr>
          <w:b/>
          <w:bCs/>
        </w:rPr>
        <w:t xml:space="preserve"> </w:t>
      </w:r>
      <w:r w:rsidR="7A328EA4" w:rsidRPr="64F74C1E">
        <w:rPr>
          <w:b/>
          <w:bCs/>
        </w:rPr>
        <w:t>adjourned</w:t>
      </w:r>
      <w:r w:rsidR="413C1010" w:rsidRPr="64F74C1E">
        <w:rPr>
          <w:b/>
          <w:bCs/>
        </w:rPr>
        <w:t xml:space="preserve"> at 5:14 pm.</w:t>
      </w:r>
    </w:p>
    <w:sectPr w:rsidR="6ECBD063" w:rsidSect="00FD2C73">
      <w:footerReference w:type="default" r:id="rId1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7401E" w14:textId="77777777" w:rsidR="00FA7E24" w:rsidRDefault="00FA7E24" w:rsidP="00AB5693">
      <w:r>
        <w:separator/>
      </w:r>
    </w:p>
  </w:endnote>
  <w:endnote w:type="continuationSeparator" w:id="0">
    <w:p w14:paraId="40156AD1" w14:textId="77777777" w:rsidR="00FA7E24" w:rsidRDefault="00FA7E24" w:rsidP="00AB5693">
      <w:r>
        <w:continuationSeparator/>
      </w:r>
    </w:p>
  </w:endnote>
  <w:endnote w:type="continuationNotice" w:id="1">
    <w:p w14:paraId="3EC6C895" w14:textId="77777777" w:rsidR="00FA7E24" w:rsidRDefault="00FA7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B6BD" w14:textId="47B7F924" w:rsidR="005B2504" w:rsidRPr="00EA4C9E" w:rsidRDefault="00DB2BA2" w:rsidP="006E3B51">
    <w:pPr>
      <w:pStyle w:val="Footer"/>
      <w:rPr>
        <w:sz w:val="20"/>
      </w:rPr>
    </w:pPr>
    <w:r>
      <w:rPr>
        <w:noProof/>
        <w:sz w:val="20"/>
      </w:rPr>
      <w:t>MINUTES</w:t>
    </w:r>
    <w:r w:rsidR="005B2504">
      <w:rPr>
        <w:i/>
        <w:sz w:val="20"/>
      </w:rPr>
      <w:t xml:space="preserve"> </w:t>
    </w:r>
    <w:r w:rsidR="005B2504">
      <w:rPr>
        <w:i/>
        <w:sz w:val="20"/>
      </w:rPr>
      <w:tab/>
      <w:t>Fiscal Operations Advisory Council</w:t>
    </w:r>
    <w:r w:rsidR="005B2504">
      <w:rPr>
        <w:i/>
        <w:sz w:val="20"/>
      </w:rPr>
      <w:tab/>
    </w:r>
    <w:r w:rsidR="005B2504" w:rsidRPr="00EC3FC0">
      <w:rPr>
        <w:sz w:val="20"/>
      </w:rPr>
      <w:t xml:space="preserve">Page </w:t>
    </w:r>
    <w:r w:rsidR="005B2504" w:rsidRPr="00EC3FC0">
      <w:rPr>
        <w:sz w:val="20"/>
      </w:rPr>
      <w:fldChar w:fldCharType="begin"/>
    </w:r>
    <w:r w:rsidR="005B2504" w:rsidRPr="00EC3FC0">
      <w:rPr>
        <w:sz w:val="20"/>
      </w:rPr>
      <w:instrText xml:space="preserve"> PAGE   \* MERGEFORMAT </w:instrText>
    </w:r>
    <w:r w:rsidR="005B2504" w:rsidRPr="00EC3FC0">
      <w:rPr>
        <w:sz w:val="20"/>
      </w:rPr>
      <w:fldChar w:fldCharType="separate"/>
    </w:r>
    <w:r w:rsidR="006D3562">
      <w:rPr>
        <w:noProof/>
        <w:sz w:val="20"/>
      </w:rPr>
      <w:t>1</w:t>
    </w:r>
    <w:r w:rsidR="005B2504" w:rsidRPr="00EC3FC0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5DB18" w14:textId="77777777" w:rsidR="00FA7E24" w:rsidRDefault="00FA7E24" w:rsidP="00AB5693">
      <w:r>
        <w:separator/>
      </w:r>
    </w:p>
  </w:footnote>
  <w:footnote w:type="continuationSeparator" w:id="0">
    <w:p w14:paraId="6869098E" w14:textId="77777777" w:rsidR="00FA7E24" w:rsidRDefault="00FA7E24" w:rsidP="00AB5693">
      <w:r>
        <w:continuationSeparator/>
      </w:r>
    </w:p>
  </w:footnote>
  <w:footnote w:type="continuationNotice" w:id="1">
    <w:p w14:paraId="4618A32A" w14:textId="77777777" w:rsidR="00FA7E24" w:rsidRDefault="00FA7E24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xvJzb/DXaDxYBJ" id="TQ9BH8yY"/>
    <int:WordHash hashCode="LhzZX/itQER7ZQ" id="JRfJmwbi"/>
    <int:WordHash hashCode="hD6WJIfPlHDPHC" id="dBTwf+7H"/>
  </int:Manifest>
  <int:Observations>
    <int:Content id="TQ9BH8yY">
      <int:Rejection type="LegacyProofing"/>
    </int:Content>
    <int:Content id="JRfJmwbi">
      <int:Rejection type="LegacyProofing"/>
    </int:Content>
    <int:Content id="dBTwf+7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05DD"/>
    <w:multiLevelType w:val="hybridMultilevel"/>
    <w:tmpl w:val="1BB8C5F6"/>
    <w:lvl w:ilvl="0" w:tplc="F620C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A70B1"/>
    <w:multiLevelType w:val="hybridMultilevel"/>
    <w:tmpl w:val="085E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73894"/>
    <w:multiLevelType w:val="hybridMultilevel"/>
    <w:tmpl w:val="78085C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FC2C9A"/>
    <w:multiLevelType w:val="hybridMultilevel"/>
    <w:tmpl w:val="B112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6D3D"/>
    <w:multiLevelType w:val="hybridMultilevel"/>
    <w:tmpl w:val="AE86F456"/>
    <w:lvl w:ilvl="0" w:tplc="199CFF6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8D7086A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CD"/>
    <w:rsid w:val="0005118F"/>
    <w:rsid w:val="0005658B"/>
    <w:rsid w:val="0006127E"/>
    <w:rsid w:val="00063413"/>
    <w:rsid w:val="00071788"/>
    <w:rsid w:val="000976DC"/>
    <w:rsid w:val="000A3408"/>
    <w:rsid w:val="000A5C6C"/>
    <w:rsid w:val="000D34F3"/>
    <w:rsid w:val="00130E48"/>
    <w:rsid w:val="00145AF8"/>
    <w:rsid w:val="00170A9A"/>
    <w:rsid w:val="00173964"/>
    <w:rsid w:val="001B2AEE"/>
    <w:rsid w:val="001F1A08"/>
    <w:rsid w:val="001F1B8F"/>
    <w:rsid w:val="001F3AAE"/>
    <w:rsid w:val="00211422"/>
    <w:rsid w:val="002132CD"/>
    <w:rsid w:val="00231FAB"/>
    <w:rsid w:val="00241EBA"/>
    <w:rsid w:val="002673FA"/>
    <w:rsid w:val="00297BF0"/>
    <w:rsid w:val="002B23D1"/>
    <w:rsid w:val="002B3B41"/>
    <w:rsid w:val="002D6DB0"/>
    <w:rsid w:val="002D7166"/>
    <w:rsid w:val="002E7110"/>
    <w:rsid w:val="00336F78"/>
    <w:rsid w:val="00362658"/>
    <w:rsid w:val="003A02C5"/>
    <w:rsid w:val="003A0A29"/>
    <w:rsid w:val="00400504"/>
    <w:rsid w:val="00417057"/>
    <w:rsid w:val="0042650C"/>
    <w:rsid w:val="004545B0"/>
    <w:rsid w:val="0047532E"/>
    <w:rsid w:val="004A708B"/>
    <w:rsid w:val="004B127D"/>
    <w:rsid w:val="004C386D"/>
    <w:rsid w:val="004D0AFD"/>
    <w:rsid w:val="004D72B6"/>
    <w:rsid w:val="004F62EB"/>
    <w:rsid w:val="00512830"/>
    <w:rsid w:val="00522B68"/>
    <w:rsid w:val="005356D5"/>
    <w:rsid w:val="00547F02"/>
    <w:rsid w:val="00552C0E"/>
    <w:rsid w:val="00566E7B"/>
    <w:rsid w:val="005701DA"/>
    <w:rsid w:val="00570AAF"/>
    <w:rsid w:val="005A6734"/>
    <w:rsid w:val="005B0496"/>
    <w:rsid w:val="005B2504"/>
    <w:rsid w:val="005B5D93"/>
    <w:rsid w:val="005E139A"/>
    <w:rsid w:val="005E7CE3"/>
    <w:rsid w:val="00637FFD"/>
    <w:rsid w:val="00653A71"/>
    <w:rsid w:val="006C7C42"/>
    <w:rsid w:val="006D1AE8"/>
    <w:rsid w:val="006D3562"/>
    <w:rsid w:val="006E3B51"/>
    <w:rsid w:val="007411C4"/>
    <w:rsid w:val="00742E04"/>
    <w:rsid w:val="00742ED3"/>
    <w:rsid w:val="00754B12"/>
    <w:rsid w:val="0078067B"/>
    <w:rsid w:val="007855B7"/>
    <w:rsid w:val="007907AD"/>
    <w:rsid w:val="007B493B"/>
    <w:rsid w:val="007C0DA3"/>
    <w:rsid w:val="007E7F6D"/>
    <w:rsid w:val="007F38EF"/>
    <w:rsid w:val="007F6D76"/>
    <w:rsid w:val="00805FBC"/>
    <w:rsid w:val="008108C6"/>
    <w:rsid w:val="00815126"/>
    <w:rsid w:val="008413E6"/>
    <w:rsid w:val="0084226F"/>
    <w:rsid w:val="00842EB7"/>
    <w:rsid w:val="008809B3"/>
    <w:rsid w:val="00886E19"/>
    <w:rsid w:val="008D3DF2"/>
    <w:rsid w:val="008D42E5"/>
    <w:rsid w:val="008E273F"/>
    <w:rsid w:val="008F6675"/>
    <w:rsid w:val="009518D7"/>
    <w:rsid w:val="00961028"/>
    <w:rsid w:val="0099517A"/>
    <w:rsid w:val="009D2271"/>
    <w:rsid w:val="00A02520"/>
    <w:rsid w:val="00A05A91"/>
    <w:rsid w:val="00A10487"/>
    <w:rsid w:val="00A15861"/>
    <w:rsid w:val="00A8482C"/>
    <w:rsid w:val="00AB3AC8"/>
    <w:rsid w:val="00AB5693"/>
    <w:rsid w:val="00AD1E4A"/>
    <w:rsid w:val="00B11579"/>
    <w:rsid w:val="00B47704"/>
    <w:rsid w:val="00B63601"/>
    <w:rsid w:val="00B6677B"/>
    <w:rsid w:val="00B75090"/>
    <w:rsid w:val="00B91950"/>
    <w:rsid w:val="00BA3920"/>
    <w:rsid w:val="00BA46CF"/>
    <w:rsid w:val="00BC6C37"/>
    <w:rsid w:val="00BC7427"/>
    <w:rsid w:val="00BD48F3"/>
    <w:rsid w:val="00BE574F"/>
    <w:rsid w:val="00BE58C3"/>
    <w:rsid w:val="00C06B15"/>
    <w:rsid w:val="00C27820"/>
    <w:rsid w:val="00C33C16"/>
    <w:rsid w:val="00C3558A"/>
    <w:rsid w:val="00C741EC"/>
    <w:rsid w:val="00C97594"/>
    <w:rsid w:val="00CA1EEE"/>
    <w:rsid w:val="00CA7809"/>
    <w:rsid w:val="00CE52C6"/>
    <w:rsid w:val="00CF2394"/>
    <w:rsid w:val="00CF2F6D"/>
    <w:rsid w:val="00CF5341"/>
    <w:rsid w:val="00DB2BA2"/>
    <w:rsid w:val="00DD3620"/>
    <w:rsid w:val="00DE2F62"/>
    <w:rsid w:val="00DF4E55"/>
    <w:rsid w:val="00E0175D"/>
    <w:rsid w:val="00E303DA"/>
    <w:rsid w:val="00E3094B"/>
    <w:rsid w:val="00E4790B"/>
    <w:rsid w:val="00E844A4"/>
    <w:rsid w:val="00EC797C"/>
    <w:rsid w:val="00EE00EB"/>
    <w:rsid w:val="00F12734"/>
    <w:rsid w:val="00F146DF"/>
    <w:rsid w:val="00F363CA"/>
    <w:rsid w:val="00F65DCE"/>
    <w:rsid w:val="00F97243"/>
    <w:rsid w:val="00FA7E24"/>
    <w:rsid w:val="00FB07F8"/>
    <w:rsid w:val="00FB1D4D"/>
    <w:rsid w:val="00FD2C73"/>
    <w:rsid w:val="00FE022E"/>
    <w:rsid w:val="00FF1636"/>
    <w:rsid w:val="02E45A0D"/>
    <w:rsid w:val="05AD4F1C"/>
    <w:rsid w:val="05C1523D"/>
    <w:rsid w:val="064C710D"/>
    <w:rsid w:val="066B8E3E"/>
    <w:rsid w:val="07C7107F"/>
    <w:rsid w:val="087787DA"/>
    <w:rsid w:val="08CBC781"/>
    <w:rsid w:val="08ED80E2"/>
    <w:rsid w:val="08EF9EF0"/>
    <w:rsid w:val="09139BF6"/>
    <w:rsid w:val="09E1DA5F"/>
    <w:rsid w:val="0A80C03F"/>
    <w:rsid w:val="0ACAE557"/>
    <w:rsid w:val="0AF45283"/>
    <w:rsid w:val="0AFE0DCD"/>
    <w:rsid w:val="0B2241E8"/>
    <w:rsid w:val="0B475D1B"/>
    <w:rsid w:val="0B8C12D0"/>
    <w:rsid w:val="0C6701A1"/>
    <w:rsid w:val="0D08660D"/>
    <w:rsid w:val="0D773B48"/>
    <w:rsid w:val="0DC1161D"/>
    <w:rsid w:val="0DC76064"/>
    <w:rsid w:val="0E40BA4D"/>
    <w:rsid w:val="0EA4366E"/>
    <w:rsid w:val="0F3B0905"/>
    <w:rsid w:val="0F7C53C4"/>
    <w:rsid w:val="0FACFE15"/>
    <w:rsid w:val="10DC9B81"/>
    <w:rsid w:val="10DF49A3"/>
    <w:rsid w:val="11ECA50D"/>
    <w:rsid w:val="12B07F93"/>
    <w:rsid w:val="173A0AB6"/>
    <w:rsid w:val="17AEC861"/>
    <w:rsid w:val="17B6DF8F"/>
    <w:rsid w:val="18543434"/>
    <w:rsid w:val="18D5DB17"/>
    <w:rsid w:val="19D8E0A3"/>
    <w:rsid w:val="1A5DE8AA"/>
    <w:rsid w:val="1AB7FDB0"/>
    <w:rsid w:val="1ADAF706"/>
    <w:rsid w:val="1BB38036"/>
    <w:rsid w:val="1C3671E9"/>
    <w:rsid w:val="1D4A8EE3"/>
    <w:rsid w:val="1D829422"/>
    <w:rsid w:val="1EE891E1"/>
    <w:rsid w:val="1FA20CF7"/>
    <w:rsid w:val="20448389"/>
    <w:rsid w:val="2049130F"/>
    <w:rsid w:val="21829DC6"/>
    <w:rsid w:val="21966C5F"/>
    <w:rsid w:val="22872039"/>
    <w:rsid w:val="22C1EB41"/>
    <w:rsid w:val="22D48316"/>
    <w:rsid w:val="22F9C84E"/>
    <w:rsid w:val="230804FC"/>
    <w:rsid w:val="233477E5"/>
    <w:rsid w:val="2413631B"/>
    <w:rsid w:val="24527096"/>
    <w:rsid w:val="245B477D"/>
    <w:rsid w:val="246865F1"/>
    <w:rsid w:val="2509E79A"/>
    <w:rsid w:val="25811CAF"/>
    <w:rsid w:val="25AF337C"/>
    <w:rsid w:val="25B99789"/>
    <w:rsid w:val="25B9E28E"/>
    <w:rsid w:val="25C930AC"/>
    <w:rsid w:val="2631D693"/>
    <w:rsid w:val="26801096"/>
    <w:rsid w:val="270609F0"/>
    <w:rsid w:val="27EC8586"/>
    <w:rsid w:val="2921E41A"/>
    <w:rsid w:val="2A76946B"/>
    <w:rsid w:val="2BB86DE7"/>
    <w:rsid w:val="2D05AFB0"/>
    <w:rsid w:val="2DF789D2"/>
    <w:rsid w:val="2E28FA91"/>
    <w:rsid w:val="2E40D940"/>
    <w:rsid w:val="2ED7C9D9"/>
    <w:rsid w:val="309E74FA"/>
    <w:rsid w:val="30B6B6B5"/>
    <w:rsid w:val="30E25759"/>
    <w:rsid w:val="31598591"/>
    <w:rsid w:val="34CA2C42"/>
    <w:rsid w:val="34E0FA1E"/>
    <w:rsid w:val="3559CA76"/>
    <w:rsid w:val="35E408EF"/>
    <w:rsid w:val="36895B8A"/>
    <w:rsid w:val="3739E489"/>
    <w:rsid w:val="37699BD4"/>
    <w:rsid w:val="37AF9EB8"/>
    <w:rsid w:val="38B3189F"/>
    <w:rsid w:val="39526DD7"/>
    <w:rsid w:val="3A2C9574"/>
    <w:rsid w:val="3B8C8B5C"/>
    <w:rsid w:val="3C6C5095"/>
    <w:rsid w:val="3CD1A261"/>
    <w:rsid w:val="3CF0D203"/>
    <w:rsid w:val="3D1C4B89"/>
    <w:rsid w:val="3D330ACF"/>
    <w:rsid w:val="3D6DD3C7"/>
    <w:rsid w:val="3DC9DD66"/>
    <w:rsid w:val="3E1EE03C"/>
    <w:rsid w:val="3EEDCFA1"/>
    <w:rsid w:val="3F913804"/>
    <w:rsid w:val="3FBAB09D"/>
    <w:rsid w:val="3FDB98A8"/>
    <w:rsid w:val="413C1010"/>
    <w:rsid w:val="414CBAB2"/>
    <w:rsid w:val="415680FE"/>
    <w:rsid w:val="41F446B5"/>
    <w:rsid w:val="4275E564"/>
    <w:rsid w:val="4278CEEE"/>
    <w:rsid w:val="4284262C"/>
    <w:rsid w:val="42E7A24D"/>
    <w:rsid w:val="441FF68D"/>
    <w:rsid w:val="4421925C"/>
    <w:rsid w:val="44CD61CB"/>
    <w:rsid w:val="450E3511"/>
    <w:rsid w:val="4559323A"/>
    <w:rsid w:val="470E75F3"/>
    <w:rsid w:val="476C130D"/>
    <w:rsid w:val="477D5269"/>
    <w:rsid w:val="4805028D"/>
    <w:rsid w:val="486D3332"/>
    <w:rsid w:val="48CF7D56"/>
    <w:rsid w:val="492B938F"/>
    <w:rsid w:val="494AD39D"/>
    <w:rsid w:val="4955F944"/>
    <w:rsid w:val="49698069"/>
    <w:rsid w:val="4994B9E4"/>
    <w:rsid w:val="49B109B2"/>
    <w:rsid w:val="49E1A634"/>
    <w:rsid w:val="49F15989"/>
    <w:rsid w:val="4A79CD76"/>
    <w:rsid w:val="4B3CA34F"/>
    <w:rsid w:val="4B60ECF3"/>
    <w:rsid w:val="4DDEEC9D"/>
    <w:rsid w:val="4EAB51AA"/>
    <w:rsid w:val="4F380526"/>
    <w:rsid w:val="4F616E6A"/>
    <w:rsid w:val="4F9229F3"/>
    <w:rsid w:val="4FF7B65E"/>
    <w:rsid w:val="503D632F"/>
    <w:rsid w:val="5082613E"/>
    <w:rsid w:val="50CB914D"/>
    <w:rsid w:val="50E011FA"/>
    <w:rsid w:val="5132E778"/>
    <w:rsid w:val="519A5AC2"/>
    <w:rsid w:val="51FF34BB"/>
    <w:rsid w:val="526F34A1"/>
    <w:rsid w:val="52A5F622"/>
    <w:rsid w:val="534CE596"/>
    <w:rsid w:val="54FE952D"/>
    <w:rsid w:val="554305A7"/>
    <w:rsid w:val="566D1B74"/>
    <w:rsid w:val="57078F5E"/>
    <w:rsid w:val="5710016F"/>
    <w:rsid w:val="5734491B"/>
    <w:rsid w:val="57460220"/>
    <w:rsid w:val="57BC0F51"/>
    <w:rsid w:val="5854D127"/>
    <w:rsid w:val="58617E0C"/>
    <w:rsid w:val="586FF757"/>
    <w:rsid w:val="5910D04C"/>
    <w:rsid w:val="59723248"/>
    <w:rsid w:val="59EDFEA3"/>
    <w:rsid w:val="5A33BE03"/>
    <w:rsid w:val="5A74F2E9"/>
    <w:rsid w:val="5A8C10D1"/>
    <w:rsid w:val="5ACD1E00"/>
    <w:rsid w:val="5AF79D25"/>
    <w:rsid w:val="5B6A4016"/>
    <w:rsid w:val="5C388F90"/>
    <w:rsid w:val="5CAE8E94"/>
    <w:rsid w:val="5CC6EF07"/>
    <w:rsid w:val="5D0ECCAF"/>
    <w:rsid w:val="5D194D33"/>
    <w:rsid w:val="5D286662"/>
    <w:rsid w:val="5D364063"/>
    <w:rsid w:val="5D9E5F6A"/>
    <w:rsid w:val="5DA2B9A9"/>
    <w:rsid w:val="5E16158A"/>
    <w:rsid w:val="5E83211C"/>
    <w:rsid w:val="5F0B8232"/>
    <w:rsid w:val="5F2D6DD7"/>
    <w:rsid w:val="5F547DFD"/>
    <w:rsid w:val="5F650271"/>
    <w:rsid w:val="5F6B9AD5"/>
    <w:rsid w:val="5F79B4F3"/>
    <w:rsid w:val="603B7BFC"/>
    <w:rsid w:val="604D34C5"/>
    <w:rsid w:val="60CA8E0F"/>
    <w:rsid w:val="615EFAB9"/>
    <w:rsid w:val="61D4AA77"/>
    <w:rsid w:val="61F1A10C"/>
    <w:rsid w:val="62F69ED6"/>
    <w:rsid w:val="63904DEC"/>
    <w:rsid w:val="63A72501"/>
    <w:rsid w:val="63C33DEA"/>
    <w:rsid w:val="6427C5F3"/>
    <w:rsid w:val="64F74C1E"/>
    <w:rsid w:val="65154403"/>
    <w:rsid w:val="65E36CAC"/>
    <w:rsid w:val="671094E3"/>
    <w:rsid w:val="672451C0"/>
    <w:rsid w:val="6818F2B4"/>
    <w:rsid w:val="690AB946"/>
    <w:rsid w:val="6982BE6B"/>
    <w:rsid w:val="6BF2C52B"/>
    <w:rsid w:val="6C6E31B0"/>
    <w:rsid w:val="6C7D32F6"/>
    <w:rsid w:val="6CF1BB8D"/>
    <w:rsid w:val="6D5D2957"/>
    <w:rsid w:val="6D9D5443"/>
    <w:rsid w:val="6E3090D6"/>
    <w:rsid w:val="6E62D5F8"/>
    <w:rsid w:val="6EC7AA57"/>
    <w:rsid w:val="6ECBD063"/>
    <w:rsid w:val="6EEED0E0"/>
    <w:rsid w:val="7078BAFC"/>
    <w:rsid w:val="70AAA58F"/>
    <w:rsid w:val="714E8661"/>
    <w:rsid w:val="717676AE"/>
    <w:rsid w:val="717DDFF4"/>
    <w:rsid w:val="718CF923"/>
    <w:rsid w:val="724DFCCB"/>
    <w:rsid w:val="72579D09"/>
    <w:rsid w:val="72624C1B"/>
    <w:rsid w:val="74010C18"/>
    <w:rsid w:val="7494EF13"/>
    <w:rsid w:val="759C55F4"/>
    <w:rsid w:val="784E7CC2"/>
    <w:rsid w:val="786F5642"/>
    <w:rsid w:val="79025E8E"/>
    <w:rsid w:val="793FA14C"/>
    <w:rsid w:val="7A328EA4"/>
    <w:rsid w:val="7A569EBA"/>
    <w:rsid w:val="7AE14B6A"/>
    <w:rsid w:val="7AEB7CB2"/>
    <w:rsid w:val="7B0699AE"/>
    <w:rsid w:val="7B1FBE2C"/>
    <w:rsid w:val="7B3FC6BE"/>
    <w:rsid w:val="7CC841E6"/>
    <w:rsid w:val="7D1390E7"/>
    <w:rsid w:val="7D31B4C2"/>
    <w:rsid w:val="7DACEC48"/>
    <w:rsid w:val="7F2A0FDD"/>
    <w:rsid w:val="7F5ABBD8"/>
    <w:rsid w:val="7F77DCE7"/>
    <w:rsid w:val="7F99D4D8"/>
    <w:rsid w:val="7FC0E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5E6367"/>
  <w15:chartTrackingRefBased/>
  <w15:docId w15:val="{8373680A-2F23-457D-A2EE-82D25FB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32CD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32C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32CD"/>
  </w:style>
  <w:style w:type="character" w:styleId="Hyperlink">
    <w:name w:val="Hyperlink"/>
    <w:basedOn w:val="DefaultParagraphFont"/>
    <w:uiPriority w:val="99"/>
    <w:unhideWhenUsed/>
    <w:rsid w:val="002132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69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5693"/>
  </w:style>
  <w:style w:type="paragraph" w:styleId="BalloonText">
    <w:name w:val="Balloon Text"/>
    <w:basedOn w:val="Normal"/>
    <w:link w:val="BalloonTextChar"/>
    <w:uiPriority w:val="99"/>
    <w:semiHidden/>
    <w:unhideWhenUsed/>
    <w:rsid w:val="006C7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4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00504"/>
    <w:rPr>
      <w:b/>
      <w:bCs/>
    </w:rPr>
  </w:style>
  <w:style w:type="character" w:styleId="Emphasis">
    <w:name w:val="Emphasis"/>
    <w:basedOn w:val="DefaultParagraphFont"/>
    <w:uiPriority w:val="20"/>
    <w:qFormat/>
    <w:rsid w:val="00400504"/>
    <w:rPr>
      <w:i/>
      <w:iCs/>
    </w:rPr>
  </w:style>
  <w:style w:type="table" w:styleId="TableGrid">
    <w:name w:val="Table Grid"/>
    <w:basedOn w:val="TableNormal"/>
    <w:uiPriority w:val="39"/>
    <w:rsid w:val="00CE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60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ef1f345f156740b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DB42BDCA71488618EF545099C4B1" ma:contentTypeVersion="14" ma:contentTypeDescription="Create a new document." ma:contentTypeScope="" ma:versionID="9c2ce4fa4e77a91694975ef28df489bd">
  <xsd:schema xmlns:xsd="http://www.w3.org/2001/XMLSchema" xmlns:xs="http://www.w3.org/2001/XMLSchema" xmlns:p="http://schemas.microsoft.com/office/2006/metadata/properties" xmlns:ns1="http://schemas.microsoft.com/sharepoint/v3" xmlns:ns2="2b6d241e-e9bd-4b97-adfb-7d3407bcde0f" xmlns:ns3="0bf92e2e-bcb0-4f11-8aad-f0ce99203036" targetNamespace="http://schemas.microsoft.com/office/2006/metadata/properties" ma:root="true" ma:fieldsID="bb27b714a17a9842e0dfb38cf1ce3827" ns1:_="" ns2:_="" ns3:_="">
    <xsd:import namespace="http://schemas.microsoft.com/sharepoint/v3"/>
    <xsd:import namespace="2b6d241e-e9bd-4b97-adfb-7d3407bcde0f"/>
    <xsd:import namespace="0bf92e2e-bcb0-4f11-8aad-f0ce99203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241e-e9bd-4b97-adfb-7d3407bcd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2e2e-bcb0-4f11-8aad-f0ce99203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6FE23-4CCB-47CB-AA4A-C4372A2AB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6d241e-e9bd-4b97-adfb-7d3407bcde0f"/>
    <ds:schemaRef ds:uri="0bf92e2e-bcb0-4f11-8aad-f0ce99203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DA323-E547-4F39-A85E-93C4A1A5F2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FCF697-4A87-46FE-927C-D5D1B064D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5325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Stewart</dc:creator>
  <cp:keywords/>
  <dc:description/>
  <cp:lastModifiedBy>John Harman</cp:lastModifiedBy>
  <cp:revision>2</cp:revision>
  <cp:lastPrinted>2019-10-25T22:06:00Z</cp:lastPrinted>
  <dcterms:created xsi:type="dcterms:W3CDTF">2021-12-08T18:50:00Z</dcterms:created>
  <dcterms:modified xsi:type="dcterms:W3CDTF">2021-12-08T18:50:00Z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0x010100306ADB42BDCA71488618EF545099C4B1</vt:lpwstr>
  </property>
  <property fmtid="{D5CDD505-2E9C-101B-9397-08002B2CF9AE}" pid="3" name="AuthorIds_UIVersion_2048">
    <vt:lpwstr>12</vt:lpwstr>
  </property>
</Properties>
</file>